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7E6661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186F43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>Протокол №</w:t>
      </w:r>
      <w:r w:rsidR="007E0A5A" w:rsidRPr="00186F43">
        <w:rPr>
          <w:rFonts w:ascii="Times New Roman" w:hAnsi="Times New Roman"/>
          <w:b/>
          <w:sz w:val="18"/>
          <w:szCs w:val="18"/>
        </w:rPr>
        <w:t>10</w:t>
      </w:r>
    </w:p>
    <w:p w:rsidR="0003668F" w:rsidRPr="00186F43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186F43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186F43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186F43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186F43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186F43">
        <w:rPr>
          <w:rFonts w:ascii="Times New Roman" w:hAnsi="Times New Roman"/>
          <w:b/>
          <w:sz w:val="18"/>
          <w:szCs w:val="18"/>
        </w:rPr>
        <w:t>на 202</w:t>
      </w:r>
      <w:r w:rsidR="008E135A" w:rsidRPr="00186F43">
        <w:rPr>
          <w:rFonts w:ascii="Times New Roman" w:hAnsi="Times New Roman"/>
          <w:b/>
          <w:sz w:val="18"/>
          <w:szCs w:val="18"/>
        </w:rPr>
        <w:t>2</w:t>
      </w:r>
      <w:r w:rsidR="00701371" w:rsidRPr="00186F43">
        <w:rPr>
          <w:rFonts w:ascii="Times New Roman" w:hAnsi="Times New Roman"/>
          <w:b/>
          <w:sz w:val="18"/>
          <w:szCs w:val="18"/>
        </w:rPr>
        <w:t xml:space="preserve"> год  </w:t>
      </w:r>
      <w:r w:rsidR="0003668F" w:rsidRPr="00186F43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Pr="00186F43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186F43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186F43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186F43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186F43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186F43">
        <w:rPr>
          <w:rFonts w:ascii="Times New Roman" w:hAnsi="Times New Roman"/>
          <w:b/>
          <w:sz w:val="18"/>
          <w:szCs w:val="18"/>
        </w:rPr>
        <w:t xml:space="preserve">  </w:t>
      </w:r>
      <w:r w:rsidRPr="00186F43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186F43">
        <w:rPr>
          <w:rFonts w:ascii="Times New Roman" w:hAnsi="Times New Roman"/>
          <w:b/>
          <w:sz w:val="18"/>
          <w:szCs w:val="18"/>
        </w:rPr>
        <w:t>с</w:t>
      </w:r>
      <w:r w:rsidR="004D665F" w:rsidRPr="00186F43">
        <w:rPr>
          <w:rFonts w:ascii="Times New Roman" w:hAnsi="Times New Roman"/>
          <w:b/>
          <w:sz w:val="18"/>
          <w:szCs w:val="18"/>
        </w:rPr>
        <w:t>.</w:t>
      </w:r>
      <w:r w:rsidR="00A25001" w:rsidRPr="00186F43">
        <w:rPr>
          <w:rFonts w:ascii="Times New Roman" w:hAnsi="Times New Roman"/>
          <w:b/>
          <w:sz w:val="18"/>
          <w:szCs w:val="18"/>
        </w:rPr>
        <w:t>Узынагаш</w:t>
      </w:r>
      <w:r w:rsidR="004D665F" w:rsidRPr="00186F4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186F43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="003E423A" w:rsidRPr="00186F43">
        <w:rPr>
          <w:rFonts w:ascii="Times New Roman" w:hAnsi="Times New Roman"/>
          <w:b/>
          <w:sz w:val="18"/>
          <w:szCs w:val="18"/>
        </w:rPr>
        <w:t xml:space="preserve">               </w:t>
      </w:r>
      <w:r w:rsidR="00732C8B" w:rsidRPr="00186F43">
        <w:rPr>
          <w:rFonts w:ascii="Times New Roman" w:hAnsi="Times New Roman"/>
          <w:b/>
          <w:sz w:val="18"/>
          <w:szCs w:val="18"/>
        </w:rPr>
        <w:t xml:space="preserve">           </w:t>
      </w:r>
      <w:r w:rsidR="002E0384" w:rsidRPr="00186F43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186F43">
        <w:rPr>
          <w:rFonts w:ascii="Times New Roman" w:hAnsi="Times New Roman"/>
          <w:b/>
          <w:sz w:val="18"/>
          <w:szCs w:val="18"/>
        </w:rPr>
        <w:t xml:space="preserve">   </w:t>
      </w:r>
      <w:r w:rsidR="00002E91" w:rsidRPr="00186F43">
        <w:rPr>
          <w:rFonts w:ascii="Times New Roman" w:hAnsi="Times New Roman"/>
          <w:b/>
          <w:sz w:val="18"/>
          <w:szCs w:val="18"/>
        </w:rPr>
        <w:t>«</w:t>
      </w:r>
      <w:r w:rsidR="003F37AD" w:rsidRPr="00186F43">
        <w:rPr>
          <w:rFonts w:ascii="Times New Roman" w:hAnsi="Times New Roman"/>
          <w:b/>
          <w:sz w:val="18"/>
          <w:szCs w:val="18"/>
        </w:rPr>
        <w:t>0</w:t>
      </w:r>
      <w:r w:rsidR="007E0A5A" w:rsidRPr="00186F43">
        <w:rPr>
          <w:rFonts w:ascii="Times New Roman" w:hAnsi="Times New Roman"/>
          <w:b/>
          <w:sz w:val="18"/>
          <w:szCs w:val="18"/>
        </w:rPr>
        <w:t>9</w:t>
      </w:r>
      <w:r w:rsidRPr="00186F43">
        <w:rPr>
          <w:rFonts w:ascii="Times New Roman" w:hAnsi="Times New Roman"/>
          <w:b/>
          <w:sz w:val="18"/>
          <w:szCs w:val="18"/>
        </w:rPr>
        <w:t xml:space="preserve">» </w:t>
      </w:r>
      <w:r w:rsidR="003F37AD" w:rsidRPr="00186F43">
        <w:rPr>
          <w:rFonts w:ascii="Times New Roman" w:hAnsi="Times New Roman"/>
          <w:b/>
          <w:sz w:val="18"/>
          <w:szCs w:val="18"/>
        </w:rPr>
        <w:t xml:space="preserve"> февраля </w:t>
      </w:r>
      <w:r w:rsidR="009638DD" w:rsidRPr="00186F4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86F4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86F43">
        <w:rPr>
          <w:rFonts w:ascii="Times New Roman" w:hAnsi="Times New Roman"/>
          <w:b/>
          <w:sz w:val="18"/>
          <w:szCs w:val="18"/>
        </w:rPr>
        <w:t xml:space="preserve"> 202</w:t>
      </w:r>
      <w:r w:rsidR="009638DD" w:rsidRPr="00186F43">
        <w:rPr>
          <w:rFonts w:ascii="Times New Roman" w:hAnsi="Times New Roman"/>
          <w:b/>
          <w:sz w:val="18"/>
          <w:szCs w:val="18"/>
          <w:lang w:val="kk-KZ"/>
        </w:rPr>
        <w:t>2</w:t>
      </w:r>
      <w:r w:rsidRPr="00186F43">
        <w:rPr>
          <w:rFonts w:ascii="Times New Roman" w:hAnsi="Times New Roman"/>
          <w:b/>
          <w:sz w:val="18"/>
          <w:szCs w:val="18"/>
        </w:rPr>
        <w:t>г.</w:t>
      </w:r>
      <w:r w:rsidR="004D665F" w:rsidRPr="00186F43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186F43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186F43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186F43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186F43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186F4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186F43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D584E" w:rsidRPr="00186F43" w:rsidRDefault="004D665F" w:rsidP="007E0A5A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186F43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186F43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186F43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186F43">
        <w:rPr>
          <w:rFonts w:ascii="Times New Roman" w:hAnsi="Times New Roman"/>
          <w:b/>
          <w:sz w:val="18"/>
          <w:szCs w:val="18"/>
        </w:rPr>
        <w:t>»</w:t>
      </w:r>
      <w:r w:rsidR="00A25001" w:rsidRPr="00186F43">
        <w:rPr>
          <w:rFonts w:ascii="Times New Roman" w:hAnsi="Times New Roman"/>
          <w:b/>
          <w:sz w:val="18"/>
          <w:szCs w:val="18"/>
        </w:rPr>
        <w:t xml:space="preserve"> </w:t>
      </w:r>
      <w:r w:rsidRPr="00186F43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186F43">
        <w:rPr>
          <w:rFonts w:ascii="Times New Roman" w:hAnsi="Times New Roman"/>
          <w:b/>
          <w:sz w:val="18"/>
          <w:szCs w:val="18"/>
        </w:rPr>
        <w:t>Алматинская область,</w:t>
      </w:r>
      <w:r w:rsidR="007E0A5A" w:rsidRPr="00186F43">
        <w:rPr>
          <w:rFonts w:ascii="Times New Roman" w:hAnsi="Times New Roman"/>
          <w:b/>
          <w:sz w:val="18"/>
          <w:szCs w:val="18"/>
        </w:rPr>
        <w:t xml:space="preserve"> Жамбылский район, село Узынагаш,</w:t>
      </w:r>
      <w:r w:rsidR="00A25001" w:rsidRPr="00186F43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186F43">
        <w:rPr>
          <w:rFonts w:ascii="Times New Roman" w:hAnsi="Times New Roman"/>
          <w:b/>
          <w:sz w:val="18"/>
          <w:szCs w:val="18"/>
        </w:rPr>
        <w:t xml:space="preserve">  </w:t>
      </w:r>
    </w:p>
    <w:p w:rsidR="00AD2DBF" w:rsidRPr="00186F43" w:rsidRDefault="00AD2DBF" w:rsidP="00545829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Pr="00186F43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186F43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186F43">
        <w:rPr>
          <w:rFonts w:ascii="Times New Roman" w:hAnsi="Times New Roman"/>
          <w:b/>
          <w:sz w:val="18"/>
          <w:szCs w:val="18"/>
        </w:rPr>
        <w:t>:</w:t>
      </w:r>
      <w:r w:rsidR="001230FA" w:rsidRPr="00186F43">
        <w:rPr>
          <w:rFonts w:ascii="Times New Roman" w:hAnsi="Times New Roman"/>
          <w:b/>
          <w:sz w:val="18"/>
          <w:szCs w:val="18"/>
        </w:rPr>
        <w:t xml:space="preserve"> </w:t>
      </w:r>
    </w:p>
    <w:p w:rsidR="002E0384" w:rsidRPr="00186F43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pPr w:leftFromText="180" w:rightFromText="180" w:vertAnchor="text" w:tblpY="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4253"/>
        <w:gridCol w:w="992"/>
        <w:gridCol w:w="850"/>
        <w:gridCol w:w="1418"/>
        <w:gridCol w:w="1843"/>
        <w:gridCol w:w="1417"/>
        <w:gridCol w:w="1559"/>
      </w:tblGrid>
      <w:tr w:rsidR="007E0A5A" w:rsidRPr="00186F43" w:rsidTr="00612F61">
        <w:trPr>
          <w:trHeight w:val="628"/>
        </w:trPr>
        <w:tc>
          <w:tcPr>
            <w:tcW w:w="709" w:type="dxa"/>
          </w:tcPr>
          <w:p w:rsidR="007E0A5A" w:rsidRPr="00186F43" w:rsidRDefault="007E0A5A" w:rsidP="007E0A5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696" w:type="dxa"/>
          </w:tcPr>
          <w:p w:rsidR="007E0A5A" w:rsidRPr="00186F43" w:rsidRDefault="007E0A5A" w:rsidP="007E0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</w:tcPr>
          <w:p w:rsidR="007E0A5A" w:rsidRPr="00186F43" w:rsidRDefault="007E0A5A" w:rsidP="007E0A5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7E0A5A" w:rsidRPr="00186F43" w:rsidRDefault="007E0A5A" w:rsidP="007E0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E0A5A" w:rsidRPr="00186F43" w:rsidRDefault="007E0A5A" w:rsidP="007E0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</w:tcPr>
          <w:p w:rsidR="007E0A5A" w:rsidRPr="00186F43" w:rsidRDefault="007E0A5A" w:rsidP="007E0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</w:tcPr>
          <w:p w:rsidR="007E0A5A" w:rsidRPr="00186F43" w:rsidRDefault="007E0A5A" w:rsidP="007E0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843" w:type="dxa"/>
          </w:tcPr>
          <w:p w:rsidR="007E0A5A" w:rsidRPr="00186F43" w:rsidRDefault="007E0A5A" w:rsidP="007E0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7E0A5A" w:rsidRPr="00186F43" w:rsidRDefault="007E0A5A" w:rsidP="007E0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1559" w:type="dxa"/>
          </w:tcPr>
          <w:p w:rsidR="007E0A5A" w:rsidRPr="00186F43" w:rsidRDefault="007E0A5A" w:rsidP="007E0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Эхинококк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Количество определений 96 (12х8).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Исследуемые образцы: сыворотка, плазма крови, объемом не более 10 мкл. Рабочее разведение исследуемого образца 1:100.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В комплектации набора: планшет для предварительного разведения сывороток, пленка для заклеивания и пакет типа "зип-лок" для планшета, унифицированные неспецифические компоненты ФСБ-Т, ТМБ, стоп-реагент. Готовые однокомпонентные растворы контролей, конъюгата и хромогенного субстрата, не требующие разведения. Цветовая маркировка компонентов и флаконов.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Срок годности набора - 1 год с даты производства, в течение которого может быть реализовано дробное использование.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Наличие паспорта, схемы анализа в инструкции, регистрационного удостоверения (РЗН 2013/1306)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87 150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522 900,00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87 150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KIT MAINTENANCE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KIT MAINTENANCE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Ремонтный комплект на биохимический анализатор Micros ES 60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копмл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40 950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40 950,00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40 950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COAX RBC MES/MESV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COAX RBC MES/MESV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Запчасть на гематологический анализатор Micros ES 60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72 043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72 043,00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72 043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SYRINGE.REAGENT+MOT ASS P80/XL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>SYRINGE.REAGENT+MOT ASS P80/XL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Шприц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гематологический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анализатор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Pentra 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934 500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934 500,00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934 500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MOTOR. BLOCK FOR REAG.SYR. P80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MOTOR. BLOCK FOR REAG.SYR. P80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Мотор на гематологический анализатор Pentra 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617 400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617 400,00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617 400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KIT PISTON+CROSS PIECE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KIT PISTON+CROSS PIECE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Вакуумный шприц и запчасть на гематологический анализатор Pentra 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Копмл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106 575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639 450,00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106 575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KIT MAIN 6M P60C+/P80/PXL/PXR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>KIT MAIN 6M P60C+/P80/PXL/PXR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Рем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Комплект на гематологический анализатор Pentra 80, Pentra 60 на 6 месяцев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Копмл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35 700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35 700,00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35 700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KIT MAIN P60/80 1 YEAR RANGES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>KIT MAIN 6M P60C+/P80/PXL/PXR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Рем</w:t>
            </w:r>
            <w:r w:rsidRPr="00186F4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t>Комплект на гематологический анализатор Pentra 80, Pentra 60 на 1 год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Копмл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113 400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113 400,00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113 400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KF Stick 11 - Тест-полоска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анализатора KF Scan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13 725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4 254 750,00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13 725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Контрольный раствор мочи, норма, 12мл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Контрольный раствор мочи, норма, 12мл на мочевой анализатор KF Scan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25 410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25 410,00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25 410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Контрольный раствор мочи, патология, 12мл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Контрольный раствор мочи, патология, 12мл на мочевой анализатор KF Scan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25 410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25 410,00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25 410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Тест-полоски DekaPHAN LAURA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Тест-полоски ДекаФАН Лаура предназначены для количественной диагностики анализа мочи. Используются на мочевых анализаторах Laura, Laura Smart, Laura XL Comfort и мочевых станциях Laura XL Line. Определяют концентрацию лейкоциты, нитриты, pH, белка, глюкоза, уробилиноген, билирубин, кетоновые тела, гемоглобин и удельный вес в моче. 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18 614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409 508,00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18 614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Тест на сифилис Аналог РМП Агглютинация на слайде 500 опр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Диагностика сифилиса основывается на клинических и лабораторных данных. Диагноз сифилиса ставится только после лабораторного подтверждения, т.е. после обнаружения бледных трепонем в отделяемом твердого шанкра, эрозивных папул и других данных серологического обследования.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20 475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40 950,00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20 475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Гепатит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B HEP-CHECK-1, 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уп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№20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Тесты для иммунохроматографического экспресс анализатора Easy Raeder +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Наличие паспорта, схемы анализа в инструкции, регистрационного удостоверения.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16 800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4 754 400,00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16 800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Тропонин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- TROPONIN I-CHECK-1, 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уп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№20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Иммунохроматографический экспресс-тест для определения тропонина I в сыворотке или плазме крови человека.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TROPONIN I-CHECK-1 тестовые кассеты-  20. 2 Одноразовые пипетки -20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иммунохроматографического экспресс анализатора Easy Reader +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60 760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4 557 000,00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60 760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Прокальцитонин - PROCALCITONIN-CHECK-1, уп. №20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Прокальцитонин (PCT) - это небольшой белок, состоящий из 116 аминокислотных остатков с молекулярной массой около 13 кДа, который был впервые описан Муллеком и др. в 1984 г. (1) и является предшественником кальцитонина, происходящего из щитовидной железы. Для иммунохроматографического экспресс анализатора Easy Reader +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113 200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566 000,00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113 200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Гепатит C - HCV-CHECK-1, уп. №20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Тесты для иммунохроматографического экспресс анализатора Easy Raeder +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Наличие паспорта, схемы анализа в инструкции, регистрационного удостоверения (РЗН 2013/1306)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33 600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11 088 000,00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33 600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димер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- D-DIMER-CHECK-1, 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уп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№20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Фибриноген – это один из главных белков системы свертывания крови. В результате сворачивания крови тромбин активирует превращение фибриногена в фибриновые мономеры, что ведет к образованию сгустка [1]. Фибриновые сгустки затем расщепляются плазмином, и Д-димер, который является основным и самым маленьким компонентом фибринолиза, высвобождается в кровь. Присутствие Д-</w:t>
            </w: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димера в крови указывает на различные нарушения системы свертывания крови, в том числе тромбоз глубоких вен (ТГВ), легочную эмболию (ЛЭ) [2, 3] и атеросклероз. Анализ на Д-димер является широко применяемым и простым методом исключения ТГВ и ЛЭ [4], который к тому же не требует наличия дорогого лабораторного оборудования [5, 6]. У здоровых людей концентрация Д-димера менее 400 нг/мл ФЭЕ (фибрин-эквивалентных единиц). Для иммунохроматографического экспресс анализатора Easy Reader +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53 500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267 500,00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53 500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WHITEDIFF 1L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Whitediff 1L — это лизирующий раствор,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предназначенный для диагностики in vitro и применяемый для лизиса эритроцитов (RBC) с целью подсчета и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дифференцировки лейкоцитов (WBC) и определения концентрации гемоглобина с использованием гематологических анализаторов HORIBA Medical.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112 900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5 306 300,00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112 900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Minocal Calibrator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Очищающий раствор для гематологического анализатора ABX Pentra 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72 000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504 000,00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72 000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Minotrol-16 Twin Pack Контрольная кровь (1N+1H+1L),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Три уровня контроля, предназначенный для использования в целях мониторинга точности серии HORIBA ABX сопротивление клеток крови в ячейки счетчиков. содержит эритроциты человека, моделируемые белые</w:t>
            </w: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br/>
              <w:t>клетки крови и тромбоциты млекопитающих в образце плазмы. Для гематологического анализатора ABX Micros ES 60 – закрытая система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109 000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1 635 000,00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109 000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Eosinofix 1L,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Реагент для дифференциации субпопуляций лейкоцитов в крови. Состав:Пропан 1,2 диол - 3 % Муравьиный альдегид - 0,004 %. Описание: водный раствор синий, пахнет спиртом. На гематологический анализатор Pentra XL80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85 400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2 903 600,00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85 400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ABX DIFFTROL (2N) - </w:t>
            </w: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контрольная кровь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Контрольная кровь норма для гематологического анализатора ABX Pentra 80C+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109 000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109 000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DIFFTROL (1N) - контрольная кровь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Контрольная кровь норма для гематологического анализатора ABX Pentra 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109 000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763 000,00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109 000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Minoclair 0.5L очиститель,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Очиститель. Реагент для дифференцирования  и растворения кровяных телец, для приборов HORIBAABX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Процедура измерения, используемая прибором: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Прицип метода, специфические аналитические характеристики использования: см. «Раздел: Спецификации» в инструкции пользователя данного прибора.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 xml:space="preserve">Состав: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Гипохлорит натрия …………… 9% 13%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Гидрооксид натрию…………… 0,26%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рН:                                        12,4±0,5(Т=20°С)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Удельное сопротивление: не известен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Описание: жидкость желтого оттенка.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  <w:t>Для гематологического анализатора ABX Micros ES 60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19 537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605 647,00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19 537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Minilyse LMG 1L,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Лизирующий раствор. Раствор разложения эритроцитов для подсчета и дифференциации лейкоцитов и определения гемоглобина в приборах подсчета кровяных телец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Состав: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Цианид калия………………………….. &lt;0,1%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Четвертичная соль аммония………….. &lt;20%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рН:                                                                                10±0,5 (Т=20°С)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удельное сопротивление:                                           230±10 Ом(Т=20°С)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Описание: водный раствор, прозрачный.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гематологического анализатора ABX Micros ES 60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64 168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2 374 216,00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64 168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Minidil LMG 20L,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Изотонический раствор для определения и дифференцирование лейкоцитов, а также для измерения гематокрита в приборах подсчета кровяных телец HORIBAABX.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Состав: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Натрия флорид ……………………..&lt;3%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Азид натрия………...........................&lt;20%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Диметилол мочевина……………... &lt;0,1%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Гидрооксид натрия……………….. &lt;1%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рН:                                                                                                                7,0±0,1(Т=20°)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удельное сопротивление:                                                                           60±6Ом(Е=20°)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гематологического анализатора ABX Micros ES 60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Кан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44 690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983 180,00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44 690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Diluent 20L,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Буферный изотонический раствор для разбавления лейкоцитов, и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определения и дифференцировки клеток крови и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измерение гематокрита.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гематологического анализатора ABXPentra 60C+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Состав: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Хлорид Натрия.... &lt; 1 %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Натрия азид .........&lt; 0,1 %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Сурфактант.. .......... &lt; 0,1 %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Описание: водный раствор прозрачный и без запаха.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гематологического анализатора ABX Pentra 60C+/Pentra 80 XL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Кан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4 588 000,00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74 000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Cleaner 1L,моющий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Ферментативный раствор с протеолитическим действиям для очистки счетчика клеток крови.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Состав: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Органические буфера ....... ..........&lt; 20%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Протеолитические ферменты. .........&lt; 1%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Описание: Прозрачная жидкость.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гематологического анализатора ABX Micros ES 60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29 800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3 427 000,00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29 800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Basolyse 1L,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Раствор разложения эритроцитов для подсчета лейкоцитов и дифференциации базофилов и определения в приборах подсчета кровяных телец. Состав: Соляная кислота &lt; 0,05 % Детергент &lt; 0,5 %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рН: 2,4 ± 0,2 (Т = 20°) удельное сопротивление: 61± 2 Ом (Т = 20°) Описание: водный раствор, прозрачный. На гематологический анализатор Pentra XL80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86 650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4 332 500,00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86 650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ABX Alphalyse 0.4L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Лизирующий раствор, предназначенный для диагностики in vitro и применяемый для лизиса эритроцитов (RBC) с целью подсчета и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дифференцировки лейкоцитов (WBC) и определения концентрации гемоглобина.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Для гематологического анализатора ABX Pentra 60 C+ Лизирующее вещество &lt; 0,1% Детергент &lt; 5% Прозрачный и бесцветный водный раствор. На гематологический анализатор Pentra XL80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81 820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2 372 780,00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81 820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Протромбин - Yumizen G PT Reco 10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Yumizen G PT Reco 10 представляет собой реагент из рекомбинантного тромбопластина человеческого происхождения, полученный генетической технологией в Escherichia Coli с собственным растворителем, который используется для определения протромбинового времени (ПВ) на анализаторе Yumizen G400.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107 276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536 380,00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107 276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Контроль коагулограммы - Yumizen G CTRL I and II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Yumizen G CTRL I &amp; II контрольные плазмы двух уровней предназначены для контроля следующих коагуляционных проб: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• Протромбиновое время (ПВ),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• Активированное частичное тромбопластиновое время (АЧТВ),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• Фибриноген (ФИБ),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• Тромбиновое время (TВ) только для контроля I,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• Антитромбин III (ATIII).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 xml:space="preserve">На анализатор Yumizen G400. 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53 550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53 550,00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53 550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Кюветы на коагулометр - YUMIZEN G CUVETTES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КЮВЕТЫ 1000 шт / упак  для коагулометра Yumizen G400 DDI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94 500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94 500,00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94 500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MAGNETIC  STIRERS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Магнитная мешалка для коагулометра Yumizen G400 DDI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43 050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129 150,00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43 050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Штатив к СОЭ-метру, 20 пробок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spacing w:after="2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Штатив к СОЭ-метру - предназначен для  определения скорости оседания эритроцитов при отстаивании стабилизированной крови в клинических лабораториях.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5 497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54 970,00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5 497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Пипетка к СОЭ метру, ПС/СОЭ01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Пипетки к СОЭ-метру ПС/СОЭ-01 предназначена для определения скорости оседания эритроцитов от 0 до 90 мм в СОЭ-метре.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 xml:space="preserve">Изделия изготовлены из медицинского стекла по ГОСТ 19808 ( НС-1 ) или химико-лабораторного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стекла по ГОСТ 21400 ( ХС3 ).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- внешний диаметр 5.0 ± 1.0 мм.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389 300,00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Скарификатор автоматический 21 G, 2,8 мм.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Скарификатор — инструмент для прокалывания кожи, представляет собой пластинку с несколькими острыми зубцами. Используется для взятия капиллярной крови из пальца. Скарификатор автоматический одноразовый работает следующим методом: выстрел иглой производится по коже глубиной, указанной в характеристиках, дальше игла непосредственно после прокола убирается внутрь корпуса и исключает как возможность порезов. Стерильный, безопасный, автоматический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PRP Carbon-DAC 500 опр.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Диагностика сифилиса основывается на клинических и лабораторных данных.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Диагноз сифилиса ставится только после лабораторного подтверждения, т. е. после обнаружения бледных трепонем в отделяемом твердого шанкра, эрозивных папул и других данных серологического обследования.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1 368 000,00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36 000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Азур Эозин по Романовскому, с буфером 1 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Раствор (р-р) Азур-эозина по Романовскому предназначен для окрашивания форменных элементов крови.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1 л красителя рассчитан на окрашивание 3-6 тыс. мазков крови при разведении красителя в 10-20 раз. Краситель следует хранить при температуре от 00 до 250С в темном месте, вдали от кислот и щелочей. Гарантийный срок хранения -1 год со дня изготовления. Рабочий раствор красителя хранить не более 5-6 часов при комнатной температуре. Водопроводная вода чаще всего имеет рН=7,3, пределы колебаний от 6 до 9, а свежая дистиллированная вода 5,5X0,3.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Окраска форменных элементов крови должна быть следующей: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 xml:space="preserve">эритроциты -розовые с серым оттенком, бежево-коричневые; ядра лейкоцитов -фиолетовые; цитоплазма лимфоцитов -голубая, серо-голубая; цитоплазма нейтрофилов -бледно-розовая, серо-розовая; цитоплазма моноцитов -сероватая, серо-голубая; зернистость нейтрофилов -мелкая,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фиолетовая, красно-фиолетовая; зернистость эозинофилов -обильная, крупная, желто-оранжевая, розово-фиолетовая; зернистость базофилов -фиолетовая, тромбоциты -розово-фиолетовые или розово-фиолетовые с синим.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7 875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7 875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Диагностикум бруцеллезный антигенный жидкий для реакции агглютинации РА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 xml:space="preserve">Диагностикум бруцеллезный жидкий для РА предназначен для серологической диагностики бруцеллеза с помощью РА объемным (пробирочным) и пластинчатым (на стекле) методами в сыворотках крови людей. Срок годности – 2 года. Препарат с истекшим сроком годности применению не подлежит.  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 xml:space="preserve">Хранят препарат в соответствии с СП 3.3.2.3332-16  при температуре от 2 до 8 оС. 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33 600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235 200,00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33 600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Набор д/окраски мазков по Циль-Нильсену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Набор реагентов Микро-ЦИЛЬ-НИЛЬСЕН-НИЦФ для окраски микроорганизмов по методу Циля-Нильсена предназначен для дифференциально-диагностической окраски микроорганизмов путем последовательной обработки мазка, взятого из биологического материала (гной, мокрота, моча и др.), компонентами набора.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Рассчитан на проведение 100 анализов.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Состав набора: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Метиленовый синий, 0.3% спиртовой раствор, 100 мл – 1 фл.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Фуксин основной, 0.3% спиртовой раствор, 100 мл – 1 фл.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Спирт кислотный концентрированный, 10 мл – 1 фл.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Хранить при температуре +18–25 °С в упаковке предприятия-изготовителя в сухом месте в течение всего срока годности (1 год).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7 665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7 665,00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7 665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Набор д/окраски мазков по Циль-Нильсену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Набор реагентов Микро-ЦИЛЬ-НИЛЬСЕН-НИЦФ для окраски микроорганизмов по методу Циля-Нильсена предназначен для дифференциально-диагностической окраски микроорганизмов путем последовательной обработки мазка, взятого из биологического материала (гной, мокрота, моча и др.), компонентами набора.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Рассчитан на проведение 100 анализов.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Состав набора: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Метиленовый синий, 0.3% спиртовой раствор, 100 мл – 1 фл.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Фуксин основной, 0.3% спиртовой раствор, 100 мл – 1 фл.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Спирт кислотный концентрированный, 10 мл – 1 фл.</w:t>
            </w:r>
            <w:r w:rsidRPr="00186F43">
              <w:rPr>
                <w:b/>
                <w:bCs/>
                <w:color w:val="000000"/>
                <w:sz w:val="18"/>
                <w:szCs w:val="18"/>
              </w:rPr>
              <w:br/>
              <w:t>Хранить при температуре +18–25 °С в упаковке предприятия-изготовителя в сухом месте в течение всего срока годности (1 год).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7 665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7 665,00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7 665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Сульфосалициловая кислота 0,5 кг 2-х водная, чистая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Сульфосалициловая кислота производное бензойной кислоты, применяемое для осаждения и нефелометрического определения белков в моче и других биологических жидкостях.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10 427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41 708,00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10 427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AB 5 мл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Диагностический реагент, жидкий, готовый к применению. Солевой раствор, содержащий моноклональные антитела класса IgM к антигенам A и B. Используется для определения группы крови человека системы АВ0 в прямой реакции гемагглютинации (на плоскости, в пробирке и в микроплате). Прозрачная жидкость от бесцветного до соломенного цвета, слегка опалесцирующая. Смесь моноклональных антител класса IgM, секретируемых мышиными гибридомами анти-А и Анти-В. Предназначен для определения антигена А, В и АВ и их «слабых» разновидностей. Цоликлон Анти-АВ представляет собой смесь анти-А и анти-В антител. Цоликлон Анти-АВ не агглютинирует с эритроцитами группы 0(I). Время наступления агглютинации –20 секунд. Титр цоликлона Анти-АВ в реакции агглютинации на плоскости: - с эритроцитами, содержащими антиген А(II) – 1:32; - с эритроцитами, содержащими антиген В(III) – 1:32. В состав реагента входят стабилизатор и консервант (0,1% азид натрия – NaN3). Тара: пластиковый флакон-капельница емкостью 10 мл (1 мл содержит 10 доз). Упаковка: картонная коробка по 10 флаконов реагента в каждой + инструкция. Срок годности – 1 год (при хранении при t=+2…+8 °С). Вскрытый флакон можно хранить при </w:t>
            </w: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t=+2…+8 °С в закрытом виде в течение всего срока годности.</w:t>
            </w: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 w:type="page"/>
            </w: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1 470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132 300,00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1 470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D супер 5 мл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spacing w:after="2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Цолликлоны анти D супер (срок годности 12.2021)</w:t>
            </w:r>
            <w:r w:rsidRPr="00186F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Цоликлоны – это моноклинальные антитела, полученные путем генной инженерии из крови стерильных мышей и применяемые для определения группы крови системы АВО. В отличие от стандартных сывороток, цоликлоны отличаются очень высокой активностью и авидностью, то есть временем наступления и выраженностью реакции агглютинации (склеивания). Основными цоликлонами являются: анти-A, анти-B, анти-AB, анти-D и другие. По ним определяют группы крови и резус-фактор.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1 890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151 200,00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1 890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А 10мл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Цоликлон Анти-А надежно выявляет антигены А1 и А2, причем в большинстве случаев возможно по силе агглютинации четко различить эти антигены (в образцах АВ (IV) группы А2В агглютинация слабее и часто неполная). Однако для достоверной дифференциации антигенов А1 и А2 рекомендуется использовать Цоликлон Анти-А1, который позволяет четко различить А1 и А2 подгруппы, так как реагируют только с А1 эритроцитами. Объем - 10 мл.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1 470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102 900,00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1 470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В 10мл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 xml:space="preserve">Цоликлоны Анти-А, Анти-В и Анти-АВ предназначены для определения групп крови человека системы АВО в прямых реакциях гемагглютинации. </w:t>
            </w:r>
            <w:r w:rsidRPr="00186F43">
              <w:rPr>
                <w:color w:val="000000"/>
                <w:sz w:val="18"/>
                <w:szCs w:val="18"/>
              </w:rPr>
              <w:br/>
              <w:t>ЦОЛИКЛОН Анти- В надежно выявляет антиген В, включая его слабые варианты.</w:t>
            </w:r>
            <w:r w:rsidRPr="00186F43">
              <w:rPr>
                <w:color w:val="000000"/>
                <w:sz w:val="18"/>
                <w:szCs w:val="18"/>
              </w:rPr>
              <w:br/>
              <w:t>Состав:</w:t>
            </w:r>
            <w:r w:rsidRPr="00186F43">
              <w:rPr>
                <w:color w:val="000000"/>
                <w:sz w:val="18"/>
                <w:szCs w:val="18"/>
              </w:rPr>
              <w:br/>
              <w:t>Жидкий препарат, готовый к применению, 10 мл – 1 фл.</w:t>
            </w:r>
            <w:r w:rsidRPr="00186F43">
              <w:rPr>
                <w:color w:val="000000"/>
                <w:sz w:val="18"/>
                <w:szCs w:val="18"/>
              </w:rPr>
              <w:br/>
              <w:t>Срок хранения – 2 года при температуре +2–8 °С. Вскрытый флакон годен к использованию при хранении в холодильнике в герметично закрытом виде в течение всего срока годности.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1 470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114 660,00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1 470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Эозин по Май Грюнвальду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sz w:val="18"/>
                <w:szCs w:val="18"/>
              </w:rPr>
            </w:pPr>
            <w:r w:rsidRPr="00186F43">
              <w:rPr>
                <w:sz w:val="18"/>
                <w:szCs w:val="18"/>
              </w:rPr>
              <w:t>Эозин метиленовый синий по Май-Грюнвальду (раствор)обеспечивает предварительную окраску и фиксацию препаратов крови. Один литр красителя рассчитан на фиксацию не менее 1000 мазков крови. Используется в клинической медицине в качестве красителя элементов крови.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9 450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9 450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D супер 5 мл №20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spacing w:after="2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Цолликлоны анти D супер (срок годности 12.2021)</w:t>
            </w:r>
            <w:r w:rsidRPr="00186F43">
              <w:rPr>
                <w:color w:val="000000"/>
                <w:sz w:val="18"/>
                <w:szCs w:val="18"/>
              </w:rPr>
              <w:br/>
              <w:t>Цоликлоны – это моноклинальные антитела, полученные путем генной инженерии из крови стерильных мышей и применяемые для определения группы крови системы АВО. В отличие от стандартных сывороток, цоликлоны отличаются очень высокой активностью и авидностью, то есть временем наступления и выраженностью реакции агглютинации (склеивания). Основными цоликлонами являются: анти-A, анти-B, анти-AB, анти-D и другие. По ним определяют группы крови и резус-фактор.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29 400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88 200,00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29 400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AB 5 мл №10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 xml:space="preserve">Диагностический реагент, жидкий, готовый к применению. Солевой раствор, содержащий моноклональные антитела класса IgM к антигенам A и B. Используется для определения группы крови человека системы АВ0 в прямой реакции гемагглютинации (на плоскости, в пробирке и в микроплате). Прозрачная жидкость от бесцветного до соломенного цвета, слегка опалесцирующая. Смесь моноклональных антител класса IgM, секретируемых мышиными гибридомами анти-А и Анти-В. Предназначен для определения антигена А, В и АВ и их «слабых» разновидностей. Цоликлон Анти-АВ представляет собой смесь анти-А и анти-В антител. Цоликлон Анти-АВ не агглютинирует с эритроцитами группы 0(I). Время наступления агглютинации –20 секунд. Титр цоликлона Анти-АВ в реакции агглютинации на плоскости: - с эритроцитами, содержащими антиген А(II) – 1:32; - с эритроцитами, содержащими антиген В(III) – 1:32. В состав реагента входят стабилизатор и консервант (0,1% азид натрия – NaN3). Тара: пластиковый флакон-капельница емкостью 10 мл (1 мл содержит 10 доз). Упаковка: картонная коробка по 10 флаконов реагента в каждой + инструкция. Срок </w:t>
            </w:r>
            <w:r w:rsidRPr="00186F43">
              <w:rPr>
                <w:color w:val="000000"/>
                <w:sz w:val="18"/>
                <w:szCs w:val="18"/>
              </w:rPr>
              <w:lastRenderedPageBreak/>
              <w:t>годности – 1 год (при хранении при t=+2…+8 °С). Вскрытый флакон можно хранить при t=+2…+8 °С в закрытом виде в течение всего срока годности.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18 900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37 800,00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18 900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А 10мл №10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Цоликлон Анти-А надежно выявляет антигены А1 и А2, причем в большинстве случаев возможно по силе агглютинации четко различить эти антигены (в образцах АВ (IV) группы А2В агглютинация слабее и часто неполная). Однако для достоверной дифференциации антигенов А1 и А2 рекомендуется использовать Цоликлон Анти-А1, который позволяет четко различить А1 и А2 подгруппы, так как реагируют только с А1 эритроцитами.</w:t>
            </w:r>
            <w:r w:rsidRPr="00186F43">
              <w:rPr>
                <w:color w:val="000000"/>
                <w:sz w:val="18"/>
                <w:szCs w:val="18"/>
              </w:rPr>
              <w:br/>
              <w:t>• Объем - 10 мл.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14 700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14 700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Цоликлон Анти В 10мл №10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 xml:space="preserve">Цоликлоны Анти-А, Анти-В и Анти-АВ предназначены для определения групп крови человека системы АВО в прямых реакциях гемагглютинации. </w:t>
            </w:r>
            <w:r w:rsidRPr="00186F43">
              <w:rPr>
                <w:color w:val="000000"/>
                <w:sz w:val="18"/>
                <w:szCs w:val="18"/>
              </w:rPr>
              <w:br/>
              <w:t>ЦОЛИКЛОН Анти- В надежно выявляет антиген В, включая его слабые варианты.</w:t>
            </w:r>
            <w:r w:rsidRPr="00186F43">
              <w:rPr>
                <w:color w:val="000000"/>
                <w:sz w:val="18"/>
                <w:szCs w:val="18"/>
              </w:rPr>
              <w:br/>
              <w:t>Состав:</w:t>
            </w:r>
            <w:r w:rsidRPr="00186F43">
              <w:rPr>
                <w:color w:val="000000"/>
                <w:sz w:val="18"/>
                <w:szCs w:val="18"/>
              </w:rPr>
              <w:br/>
              <w:t>Жидкий препарат, готовый к применению, 10 мл – 1 фл.</w:t>
            </w:r>
            <w:r w:rsidRPr="00186F43">
              <w:rPr>
                <w:color w:val="000000"/>
                <w:sz w:val="18"/>
                <w:szCs w:val="18"/>
              </w:rPr>
              <w:br/>
              <w:t>Срок хранения – 2 года при температуре +2–8 °С. Вскрытый флакон годен к использованию при хранении в холодильнике в герметично закрытом виде в течение всего срока годности.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14 700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14 700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Карандаш по стеклу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Карандаш по стеклу предназначен для нанесения маркировки на гладкие поверхности, такие как стекло, фарфор и т.п. Удобен при необходимости быстрой маркировки, например, в лабораторных условиях.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13 700,00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Экспресс-тест SD Bioline Hiv 1/2 3.0 для опред.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 xml:space="preserve">SD BIOLINE ВИЧ 1/2 3.0 тест использует рекомбинантные антигены, представляющие иммунодоминантные области оболочных белков ВИЧ-1 и ВИЧ-2. Захваченные антигены gp41 и p24 ВИЧ-1 фиксируются на первой (1) тестовой линии, захваченный антиген gp36 для ВИЧ-2 фиксируется на второй (2) линии тестовой зоны мембраны. Те же самые антигены связаны с красителем и расположены в конъюгатной подушечке стрипа. Маленькая область на мембране приготовлена к </w:t>
            </w:r>
            <w:r w:rsidRPr="00186F43">
              <w:rPr>
                <w:color w:val="000000"/>
                <w:sz w:val="18"/>
                <w:szCs w:val="18"/>
              </w:rPr>
              <w:lastRenderedPageBreak/>
              <w:t>антителам к ВИЧ для образования контрольной линии (С).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29 400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29 400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Экспресс-тест SD Bioline Syphilis 3.0 для опред. Treponema pallidum № 30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SDBIOLINESyphilis 3.0 содержит мембранный стрип, который предварительно покрыт рекомбинантными антигенами (17, 15KDa) в зоне прохождения реакции. Образец пациента и разбавитель двигаются к зоне теста (Т) и образуют видимые линии. Поэтому, образование видимых линий в зоне тесте (Т) указывает на положительный результат в определении Treponemapallidum специфических антител (IgG, IgA, IgM). Когда эти антитела отсутствуют в образце, не происходит образования цветных линий в зоне теста (Т).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35 700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714 000,00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35 700</w:t>
            </w:r>
          </w:p>
        </w:tc>
      </w:tr>
      <w:tr w:rsidR="002A0256" w:rsidRPr="00186F43" w:rsidTr="00612F61">
        <w:tc>
          <w:tcPr>
            <w:tcW w:w="709" w:type="dxa"/>
          </w:tcPr>
          <w:p w:rsidR="002A0256" w:rsidRPr="00186F43" w:rsidRDefault="002A0256" w:rsidP="002A02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6" w:type="dxa"/>
          </w:tcPr>
          <w:p w:rsidR="002A0256" w:rsidRPr="00186F43" w:rsidRDefault="002A0256" w:rsidP="002A0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F43">
              <w:rPr>
                <w:rFonts w:ascii="Arial" w:hAnsi="Arial" w:cs="Arial"/>
                <w:b/>
                <w:bCs/>
                <w:sz w:val="18"/>
                <w:szCs w:val="18"/>
              </w:rPr>
              <w:t>Экспресс-тест ВИЧ 1/2 для выявления антител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Тест-система для выявления антител к ВИЧ 1/2 работает по принципу иммунохроматографического анализа с визуальным учетом результатов тестирования. В месте внесения на мембрану теста образец крови реагирует с окрашенным конъюгатом. Антитела к ВИЧ 1 и 2 типов, которые присутствуют в образце крови, связываются с конъюгатом, образуя иммунный комплекс. Последний под действием капиллярных сил продвигается вдоль мембраны и вступает в реакцию с иммобилизованными рекомбинантными антигенами ВИЧ 1 и 2 типов, нанесенными на тестовую зону мембраны, в результате чего образуется окрашенная линия, в отсутствие антител окрашивание в тестовой зоне не происходит. Наличие окрашенной линии в тестовой зоне указывает на положительный результат, в то время как, как отсутствие ее указывает на отрицательный результат тестирования. Окрашенная линия, которая всегда появляется в контрольной зоне, является контролем выполнения процедуры, тем самым указывая, что было использовано достаточное количество образца и произошло заполнение капилляров мембраны.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29 400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147 000,00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«Малика Фарм»</w:t>
            </w: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F43">
              <w:rPr>
                <w:rFonts w:ascii="Arial" w:hAnsi="Arial" w:cs="Arial"/>
                <w:color w:val="000000"/>
                <w:sz w:val="18"/>
                <w:szCs w:val="18"/>
              </w:rPr>
              <w:t>29 400</w:t>
            </w:r>
          </w:p>
        </w:tc>
      </w:tr>
      <w:tr w:rsidR="002A0256" w:rsidRPr="00186F43" w:rsidTr="00612F61">
        <w:trPr>
          <w:trHeight w:val="699"/>
        </w:trPr>
        <w:tc>
          <w:tcPr>
            <w:tcW w:w="709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2A0256" w:rsidRPr="00186F43" w:rsidRDefault="002A0256" w:rsidP="002A025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4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3" w:type="dxa"/>
          </w:tcPr>
          <w:p w:rsidR="002A0256" w:rsidRPr="00186F43" w:rsidRDefault="002A0256" w:rsidP="002A025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2A0256" w:rsidRPr="00186F43" w:rsidRDefault="002A0256" w:rsidP="002A0256">
            <w:pPr>
              <w:jc w:val="center"/>
              <w:rPr>
                <w:sz w:val="18"/>
                <w:szCs w:val="18"/>
              </w:rPr>
            </w:pPr>
            <w:r w:rsidRPr="00186F4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2A0256" w:rsidRPr="00186F43" w:rsidRDefault="002A0256" w:rsidP="002A02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F4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2A0256" w:rsidRPr="00186F43" w:rsidRDefault="002A0256" w:rsidP="002A0256">
            <w:pPr>
              <w:jc w:val="center"/>
              <w:rPr>
                <w:color w:val="000000"/>
                <w:sz w:val="18"/>
                <w:szCs w:val="18"/>
              </w:rPr>
            </w:pPr>
            <w:r w:rsidRPr="00186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A0256" w:rsidRPr="00186F43" w:rsidRDefault="002A0256" w:rsidP="002A0256">
            <w:pPr>
              <w:jc w:val="center"/>
              <w:rPr>
                <w:b/>
                <w:bCs/>
                <w:sz w:val="18"/>
                <w:szCs w:val="18"/>
              </w:rPr>
            </w:pPr>
            <w:r w:rsidRPr="00186F43">
              <w:rPr>
                <w:b/>
                <w:bCs/>
                <w:sz w:val="18"/>
                <w:szCs w:val="18"/>
              </w:rPr>
              <w:t>64 222 292,00</w:t>
            </w:r>
          </w:p>
        </w:tc>
        <w:tc>
          <w:tcPr>
            <w:tcW w:w="1417" w:type="dxa"/>
          </w:tcPr>
          <w:p w:rsidR="002A0256" w:rsidRPr="00186F43" w:rsidRDefault="002A0256" w:rsidP="002A02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2A0256" w:rsidRPr="00186F43" w:rsidRDefault="002A0256" w:rsidP="002A02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D2DBF" w:rsidRPr="00186F43" w:rsidRDefault="00AD2DBF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03A6D" w:rsidRPr="00186F43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AD2DBF" w:rsidRPr="00186F43" w:rsidRDefault="00AD2DBF" w:rsidP="00AD2DBF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135FF0" w:rsidRPr="00186F43" w:rsidRDefault="00135FF0" w:rsidP="00135FF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135FF0" w:rsidRPr="00186F43" w:rsidRDefault="00135FF0" w:rsidP="00135FF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186F43">
        <w:rPr>
          <w:rFonts w:ascii="Times New Roman" w:hAnsi="Times New Roman"/>
          <w:bCs/>
          <w:sz w:val="18"/>
          <w:szCs w:val="18"/>
          <w:lang w:val="kk-KZ"/>
        </w:rPr>
        <w:t xml:space="preserve">  </w:t>
      </w:r>
      <w:r w:rsidRPr="00186F43">
        <w:rPr>
          <w:rFonts w:ascii="Times New Roman" w:hAnsi="Times New Roman"/>
          <w:b/>
          <w:bCs/>
          <w:sz w:val="18"/>
          <w:szCs w:val="18"/>
          <w:lang w:val="kk-KZ"/>
        </w:rPr>
        <w:t>ТОО "</w:t>
      </w:r>
      <w:r w:rsidR="006E3534" w:rsidRPr="00186F43">
        <w:rPr>
          <w:rFonts w:ascii="Times New Roman" w:hAnsi="Times New Roman"/>
          <w:b/>
          <w:bCs/>
          <w:sz w:val="18"/>
          <w:szCs w:val="18"/>
          <w:lang w:val="kk-KZ"/>
        </w:rPr>
        <w:t>Малика Фарм</w:t>
      </w:r>
      <w:r w:rsidRPr="00186F43">
        <w:rPr>
          <w:rFonts w:ascii="Times New Roman" w:hAnsi="Times New Roman"/>
          <w:b/>
          <w:bCs/>
          <w:sz w:val="18"/>
          <w:szCs w:val="18"/>
          <w:lang w:val="kk-KZ"/>
        </w:rPr>
        <w:t>"</w:t>
      </w:r>
      <w:r w:rsidRPr="00186F43">
        <w:rPr>
          <w:rFonts w:ascii="Times New Roman" w:hAnsi="Times New Roman"/>
          <w:b/>
          <w:bCs/>
          <w:sz w:val="18"/>
          <w:szCs w:val="18"/>
        </w:rPr>
        <w:t xml:space="preserve">, РК, </w:t>
      </w:r>
      <w:r w:rsidRPr="00186F43">
        <w:rPr>
          <w:rFonts w:ascii="Times New Roman" w:hAnsi="Times New Roman"/>
          <w:b/>
          <w:bCs/>
          <w:sz w:val="18"/>
          <w:szCs w:val="18"/>
          <w:lang w:val="kk-KZ"/>
        </w:rPr>
        <w:t xml:space="preserve">г </w:t>
      </w:r>
      <w:r w:rsidR="006E3534"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. Алматы,пр. Райымбека 221 А/4, офис 17 </w:t>
      </w:r>
      <w:r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  от </w:t>
      </w:r>
      <w:r w:rsidR="006E3534" w:rsidRPr="00186F43">
        <w:rPr>
          <w:rFonts w:ascii="Times New Roman" w:hAnsi="Times New Roman"/>
          <w:b/>
          <w:bCs/>
          <w:sz w:val="18"/>
          <w:szCs w:val="18"/>
        </w:rPr>
        <w:t xml:space="preserve">  09</w:t>
      </w:r>
      <w:r w:rsidRPr="00186F43">
        <w:rPr>
          <w:rFonts w:ascii="Times New Roman" w:hAnsi="Times New Roman"/>
          <w:b/>
          <w:bCs/>
          <w:sz w:val="18"/>
          <w:szCs w:val="18"/>
          <w:lang w:val="kk-KZ"/>
        </w:rPr>
        <w:t>.02.2022 г., в 10ч:</w:t>
      </w:r>
      <w:r w:rsidR="006E3534" w:rsidRPr="00186F43">
        <w:rPr>
          <w:rFonts w:ascii="Times New Roman" w:hAnsi="Times New Roman"/>
          <w:b/>
          <w:bCs/>
          <w:sz w:val="18"/>
          <w:szCs w:val="18"/>
          <w:lang w:val="kk-KZ"/>
        </w:rPr>
        <w:t>11</w:t>
      </w:r>
      <w:r w:rsidRPr="00186F43">
        <w:rPr>
          <w:rFonts w:ascii="Times New Roman" w:hAnsi="Times New Roman"/>
          <w:b/>
          <w:bCs/>
          <w:sz w:val="18"/>
          <w:szCs w:val="18"/>
          <w:lang w:val="kk-KZ"/>
        </w:rPr>
        <w:t>м</w:t>
      </w:r>
    </w:p>
    <w:p w:rsidR="00AD2DBF" w:rsidRPr="00186F43" w:rsidRDefault="00AD2DBF" w:rsidP="00AD2DBF">
      <w:pPr>
        <w:pStyle w:val="a4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A8313D" w:rsidRPr="00186F43" w:rsidRDefault="00A8313D" w:rsidP="00A8313D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903A6D" w:rsidRPr="00186F43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186F43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060D2" w:rsidRPr="00186F43" w:rsidRDefault="006E3534" w:rsidP="003060D2">
      <w:pPr>
        <w:pStyle w:val="a4"/>
        <w:numPr>
          <w:ilvl w:val="0"/>
          <w:numId w:val="12"/>
        </w:numPr>
        <w:rPr>
          <w:rFonts w:ascii="Times New Roman" w:hAnsi="Times New Roman"/>
          <w:b/>
          <w:sz w:val="18"/>
          <w:szCs w:val="18"/>
          <w:lang w:val="kk-KZ" w:eastAsia="ru-RU"/>
        </w:rPr>
      </w:pPr>
      <w:r w:rsidRPr="00186F43">
        <w:rPr>
          <w:rFonts w:ascii="Times New Roman" w:hAnsi="Times New Roman"/>
          <w:b/>
          <w:bCs/>
          <w:sz w:val="18"/>
          <w:szCs w:val="18"/>
          <w:lang w:val="kk-KZ"/>
        </w:rPr>
        <w:t>ТОО "Малика Фарм"</w:t>
      </w:r>
      <w:r w:rsidRPr="00186F43">
        <w:rPr>
          <w:rFonts w:ascii="Times New Roman" w:hAnsi="Times New Roman"/>
          <w:b/>
          <w:bCs/>
          <w:sz w:val="18"/>
          <w:szCs w:val="18"/>
        </w:rPr>
        <w:t xml:space="preserve">, РК, </w:t>
      </w:r>
      <w:r w:rsidRPr="00186F43">
        <w:rPr>
          <w:rFonts w:ascii="Times New Roman" w:hAnsi="Times New Roman"/>
          <w:b/>
          <w:bCs/>
          <w:sz w:val="18"/>
          <w:szCs w:val="18"/>
          <w:lang w:val="kk-KZ"/>
        </w:rPr>
        <w:t xml:space="preserve">г </w:t>
      </w:r>
      <w:r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. Алматы,пр. Райымбека 221 А/4, офис 17  </w:t>
      </w:r>
      <w:r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</w:t>
      </w:r>
      <w:r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186F43">
        <w:rPr>
          <w:rFonts w:ascii="Times New Roman" w:hAnsi="Times New Roman"/>
          <w:b/>
          <w:sz w:val="18"/>
          <w:szCs w:val="18"/>
          <w:lang w:val="kk-KZ" w:eastAsia="ru-RU"/>
        </w:rPr>
        <w:t>(лоты</w:t>
      </w:r>
      <w:r w:rsidR="00D172B2" w:rsidRPr="00186F43">
        <w:rPr>
          <w:rFonts w:ascii="Times New Roman" w:hAnsi="Times New Roman"/>
          <w:b/>
          <w:sz w:val="18"/>
          <w:szCs w:val="18"/>
          <w:lang w:val="kk-KZ" w:eastAsia="ru-RU"/>
        </w:rPr>
        <w:t>1,2,3,4,5,6,7,8,9,10,11,12,13,14,15,16,17,18,19,20,21,22,23,24,25,26,27,28,29,30,31,32,33,34,35,36,37,38,39,40,41,42,43,44,45,46,47,48,49,50,51,52,53,54,55,56,57</w:t>
      </w:r>
      <w:r w:rsidR="003060D2"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 )</w:t>
      </w:r>
      <w:r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                    </w:t>
      </w:r>
      <w:r w:rsidR="003060D2"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 сумма договора:  </w:t>
      </w:r>
      <w:r w:rsidR="00D172B2" w:rsidRPr="00186F43">
        <w:rPr>
          <w:rFonts w:cs="Calibri"/>
          <w:b/>
          <w:color w:val="000000"/>
          <w:sz w:val="18"/>
          <w:szCs w:val="18"/>
        </w:rPr>
        <w:t>64 222 292</w:t>
      </w:r>
      <w:r w:rsidR="00D172B2" w:rsidRPr="00186F43">
        <w:rPr>
          <w:rStyle w:val="s0"/>
          <w:sz w:val="18"/>
          <w:szCs w:val="18"/>
          <w:lang w:val="kk-KZ"/>
        </w:rPr>
        <w:t xml:space="preserve"> </w:t>
      </w:r>
      <w:r w:rsidR="003060D2" w:rsidRPr="00186F43">
        <w:rPr>
          <w:rFonts w:ascii="Times New Roman" w:hAnsi="Times New Roman"/>
          <w:b/>
          <w:sz w:val="18"/>
          <w:szCs w:val="18"/>
          <w:lang w:val="kk-KZ" w:eastAsia="ru-RU"/>
        </w:rPr>
        <w:t xml:space="preserve">,00 тенге </w:t>
      </w:r>
    </w:p>
    <w:p w:rsidR="00903A6D" w:rsidRPr="00186F43" w:rsidRDefault="00903A6D" w:rsidP="00903A6D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18"/>
          <w:szCs w:val="18"/>
          <w:highlight w:val="yellow"/>
          <w:lang w:val="kk-KZ" w:eastAsia="ru-RU"/>
        </w:rPr>
      </w:pPr>
    </w:p>
    <w:p w:rsidR="00903A6D" w:rsidRPr="00186F43" w:rsidRDefault="00903A6D" w:rsidP="00186F4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Cs/>
          <w:color w:val="000000"/>
          <w:sz w:val="18"/>
          <w:szCs w:val="18"/>
          <w:lang w:val="kk-KZ"/>
        </w:rPr>
        <w:t xml:space="preserve">  </w:t>
      </w:r>
      <w:r w:rsidRPr="00186F43">
        <w:rPr>
          <w:rFonts w:ascii="Times New Roman" w:hAnsi="Times New Roman"/>
          <w:b/>
          <w:color w:val="FF0000"/>
          <w:sz w:val="18"/>
          <w:szCs w:val="18"/>
          <w:lang w:val="kk-KZ" w:eastAsia="ru-RU"/>
        </w:rPr>
        <w:t xml:space="preserve">        </w:t>
      </w:r>
    </w:p>
    <w:p w:rsidR="00903A6D" w:rsidRPr="00186F43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186F43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186F4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86F43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03A6D" w:rsidRPr="00186F43" w:rsidRDefault="00903A6D" w:rsidP="00903A6D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</w:rPr>
        <w:t>–</w:t>
      </w:r>
      <w:r w:rsidRPr="00186F43">
        <w:rPr>
          <w:sz w:val="18"/>
          <w:szCs w:val="18"/>
        </w:rPr>
        <w:t xml:space="preserve"> </w:t>
      </w:r>
      <w:r w:rsidRPr="00186F43">
        <w:rPr>
          <w:rFonts w:ascii="Times New Roman" w:hAnsi="Times New Roman"/>
          <w:sz w:val="18"/>
          <w:szCs w:val="18"/>
        </w:rPr>
        <w:t>отсутствует;</w:t>
      </w:r>
    </w:p>
    <w:p w:rsidR="00AD2DBF" w:rsidRPr="00186F43" w:rsidRDefault="00903A6D" w:rsidP="00903A6D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</w:rPr>
        <w:t xml:space="preserve">    </w:t>
      </w:r>
    </w:p>
    <w:p w:rsidR="00903A6D" w:rsidRPr="00186F43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186F43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186F43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186F43">
        <w:rPr>
          <w:rFonts w:ascii="Times New Roman" w:hAnsi="Times New Roman"/>
          <w:sz w:val="18"/>
          <w:szCs w:val="18"/>
        </w:rPr>
        <w:t xml:space="preserve">в срок  до </w:t>
      </w:r>
      <w:r w:rsidRPr="00186F43">
        <w:rPr>
          <w:rFonts w:ascii="Times New Roman" w:hAnsi="Times New Roman"/>
          <w:sz w:val="18"/>
          <w:szCs w:val="18"/>
          <w:lang w:val="kk-KZ"/>
        </w:rPr>
        <w:t>«</w:t>
      </w:r>
      <w:r w:rsidR="00FE47AF" w:rsidRPr="00186F43">
        <w:rPr>
          <w:rFonts w:ascii="Times New Roman" w:hAnsi="Times New Roman"/>
          <w:sz w:val="18"/>
          <w:szCs w:val="18"/>
          <w:lang w:val="kk-KZ"/>
        </w:rPr>
        <w:t>07</w:t>
      </w:r>
      <w:r w:rsidRPr="00186F43">
        <w:rPr>
          <w:rFonts w:ascii="Times New Roman" w:hAnsi="Times New Roman"/>
          <w:sz w:val="18"/>
          <w:szCs w:val="18"/>
        </w:rPr>
        <w:t>»</w:t>
      </w:r>
      <w:r w:rsidR="00A8313D" w:rsidRPr="00186F43">
        <w:rPr>
          <w:rFonts w:ascii="Times New Roman" w:hAnsi="Times New Roman"/>
          <w:sz w:val="18"/>
          <w:szCs w:val="18"/>
        </w:rPr>
        <w:t xml:space="preserve">  февраля </w:t>
      </w:r>
      <w:r w:rsidR="00F92F7F" w:rsidRPr="00186F43">
        <w:rPr>
          <w:rFonts w:ascii="Times New Roman" w:hAnsi="Times New Roman"/>
          <w:sz w:val="18"/>
          <w:szCs w:val="18"/>
        </w:rPr>
        <w:t xml:space="preserve"> </w:t>
      </w:r>
      <w:r w:rsidRPr="00186F43">
        <w:rPr>
          <w:rFonts w:ascii="Times New Roman" w:hAnsi="Times New Roman"/>
          <w:sz w:val="18"/>
          <w:szCs w:val="18"/>
        </w:rPr>
        <w:t>20</w:t>
      </w:r>
      <w:r w:rsidRPr="00186F43">
        <w:rPr>
          <w:rFonts w:ascii="Times New Roman" w:hAnsi="Times New Roman"/>
          <w:sz w:val="18"/>
          <w:szCs w:val="18"/>
          <w:lang w:val="kk-KZ"/>
        </w:rPr>
        <w:t>2</w:t>
      </w:r>
      <w:r w:rsidR="00F92F7F" w:rsidRPr="00186F43">
        <w:rPr>
          <w:rFonts w:ascii="Times New Roman" w:hAnsi="Times New Roman"/>
          <w:sz w:val="18"/>
          <w:szCs w:val="18"/>
          <w:lang w:val="kk-KZ"/>
        </w:rPr>
        <w:t>2</w:t>
      </w:r>
      <w:r w:rsidRPr="00186F43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186F43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186F43">
        <w:rPr>
          <w:rFonts w:ascii="Times New Roman" w:hAnsi="Times New Roman"/>
          <w:sz w:val="18"/>
          <w:szCs w:val="18"/>
        </w:rPr>
        <w:t>».</w:t>
      </w:r>
    </w:p>
    <w:p w:rsidR="00903A6D" w:rsidRPr="00186F43" w:rsidRDefault="00903A6D" w:rsidP="00903A6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903A6D" w:rsidRPr="00186F43" w:rsidRDefault="00903A6D" w:rsidP="00903A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</w:rPr>
      </w:pPr>
      <w:r w:rsidRPr="00186F43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186F43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681C76" w:rsidRPr="00186F43">
        <w:rPr>
          <w:rFonts w:ascii="Times New Roman" w:hAnsi="Times New Roman"/>
          <w:sz w:val="18"/>
          <w:szCs w:val="18"/>
          <w:lang w:val="kk-KZ"/>
        </w:rPr>
        <w:t xml:space="preserve">       </w:t>
      </w:r>
      <w:r w:rsidRPr="00186F43">
        <w:rPr>
          <w:rFonts w:ascii="Times New Roman" w:hAnsi="Times New Roman"/>
          <w:sz w:val="18"/>
          <w:szCs w:val="18"/>
        </w:rPr>
        <w:t>Сураужанов Д.А.</w:t>
      </w: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</w:rPr>
      </w:pPr>
      <w:r w:rsidRPr="00186F43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  <w:bookmarkStart w:id="0" w:name="_GoBack"/>
      <w:bookmarkEnd w:id="0"/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186F43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186F43">
        <w:rPr>
          <w:rFonts w:ascii="Times New Roman" w:hAnsi="Times New Roman"/>
          <w:sz w:val="18"/>
          <w:szCs w:val="18"/>
        </w:rPr>
        <w:t xml:space="preserve"> – </w:t>
      </w:r>
      <w:r w:rsidR="00FA0DD8" w:rsidRPr="00186F43">
        <w:rPr>
          <w:rFonts w:ascii="Times New Roman" w:hAnsi="Times New Roman"/>
          <w:sz w:val="18"/>
          <w:szCs w:val="18"/>
          <w:lang w:val="kk-KZ"/>
        </w:rPr>
        <w:t xml:space="preserve">   Абдымолдаева  Ж</w:t>
      </w:r>
      <w:r w:rsidRPr="00186F43">
        <w:rPr>
          <w:rFonts w:ascii="Times New Roman" w:hAnsi="Times New Roman"/>
          <w:sz w:val="18"/>
          <w:szCs w:val="18"/>
          <w:lang w:val="kk-KZ"/>
        </w:rPr>
        <w:t>.</w:t>
      </w:r>
      <w:r w:rsidR="00FA0DD8" w:rsidRPr="00186F43">
        <w:rPr>
          <w:rFonts w:ascii="Times New Roman" w:hAnsi="Times New Roman"/>
          <w:sz w:val="18"/>
          <w:szCs w:val="18"/>
          <w:lang w:val="kk-KZ"/>
        </w:rPr>
        <w:t>А</w:t>
      </w:r>
      <w:r w:rsidRPr="00186F43">
        <w:rPr>
          <w:rFonts w:ascii="Times New Roman" w:hAnsi="Times New Roman"/>
          <w:sz w:val="18"/>
          <w:szCs w:val="18"/>
          <w:lang w:val="kk-KZ"/>
        </w:rPr>
        <w:t>.</w:t>
      </w: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186F43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</w:t>
      </w:r>
      <w:r w:rsidRPr="00186F43">
        <w:rPr>
          <w:rFonts w:ascii="Times New Roman" w:hAnsi="Times New Roman"/>
          <w:sz w:val="18"/>
          <w:szCs w:val="18"/>
        </w:rPr>
        <w:t xml:space="preserve"> </w:t>
      </w:r>
      <w:r w:rsidRPr="00186F43"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  <w:lang w:val="kk-KZ"/>
        </w:rPr>
      </w:pPr>
      <w:r w:rsidRPr="00186F43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186F43">
        <w:rPr>
          <w:rFonts w:ascii="Times New Roman" w:hAnsi="Times New Roman"/>
          <w:sz w:val="18"/>
          <w:szCs w:val="18"/>
          <w:lang w:val="kk-KZ"/>
        </w:rPr>
        <w:t xml:space="preserve">секретарь  -                       </w:t>
      </w:r>
      <w:r w:rsidR="00FA0DD8" w:rsidRPr="00186F43">
        <w:rPr>
          <w:rFonts w:ascii="Times New Roman" w:hAnsi="Times New Roman"/>
          <w:sz w:val="18"/>
          <w:szCs w:val="18"/>
          <w:lang w:val="kk-KZ"/>
        </w:rPr>
        <w:t xml:space="preserve">                        Айдабулова А</w:t>
      </w:r>
      <w:r w:rsidRPr="00186F43">
        <w:rPr>
          <w:rFonts w:ascii="Times New Roman" w:hAnsi="Times New Roman"/>
          <w:sz w:val="18"/>
          <w:szCs w:val="18"/>
          <w:lang w:val="kk-KZ"/>
        </w:rPr>
        <w:t xml:space="preserve">. </w:t>
      </w:r>
      <w:r w:rsidR="00FA0DD8" w:rsidRPr="00186F43">
        <w:rPr>
          <w:rFonts w:ascii="Times New Roman" w:hAnsi="Times New Roman"/>
          <w:sz w:val="18"/>
          <w:szCs w:val="18"/>
          <w:lang w:val="kk-KZ"/>
        </w:rPr>
        <w:t>Н</w:t>
      </w:r>
      <w:r w:rsidRPr="00186F43">
        <w:rPr>
          <w:rFonts w:ascii="Times New Roman" w:hAnsi="Times New Roman"/>
          <w:sz w:val="18"/>
          <w:szCs w:val="18"/>
          <w:lang w:val="kk-KZ"/>
        </w:rPr>
        <w:t>.</w:t>
      </w:r>
    </w:p>
    <w:p w:rsidR="00903A6D" w:rsidRPr="00186F43" w:rsidRDefault="00903A6D" w:rsidP="00903A6D">
      <w:pPr>
        <w:rPr>
          <w:rFonts w:ascii="Times New Roman" w:hAnsi="Times New Roman"/>
          <w:sz w:val="18"/>
          <w:szCs w:val="18"/>
          <w:lang w:val="kk-KZ"/>
        </w:rPr>
      </w:pPr>
    </w:p>
    <w:p w:rsidR="00903A6D" w:rsidRPr="00186F43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903A6D" w:rsidRPr="00186F43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AE37A8" w:rsidRPr="00186F43" w:rsidRDefault="00AE37A8" w:rsidP="007E6661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</w:p>
    <w:sectPr w:rsidR="00AE37A8" w:rsidRPr="00186F4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13" w:rsidRDefault="002B0413" w:rsidP="00233E55">
      <w:pPr>
        <w:spacing w:after="0" w:line="240" w:lineRule="auto"/>
      </w:pPr>
      <w:r>
        <w:separator/>
      </w:r>
    </w:p>
  </w:endnote>
  <w:endnote w:type="continuationSeparator" w:id="0">
    <w:p w:rsidR="002B0413" w:rsidRDefault="002B041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13" w:rsidRDefault="002B0413" w:rsidP="00233E55">
      <w:pPr>
        <w:spacing w:after="0" w:line="240" w:lineRule="auto"/>
      </w:pPr>
      <w:r>
        <w:separator/>
      </w:r>
    </w:p>
  </w:footnote>
  <w:footnote w:type="continuationSeparator" w:id="0">
    <w:p w:rsidR="002B0413" w:rsidRDefault="002B041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C46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F43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6B17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0256"/>
    <w:rsid w:val="002A5F70"/>
    <w:rsid w:val="002A75C8"/>
    <w:rsid w:val="002A7732"/>
    <w:rsid w:val="002A7FF0"/>
    <w:rsid w:val="002B0413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860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2F61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3534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0A5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354A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172B2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B7D29-9BFF-492D-B1D7-04D85DB8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177</cp:revision>
  <cp:lastPrinted>2022-02-01T10:07:00Z</cp:lastPrinted>
  <dcterms:created xsi:type="dcterms:W3CDTF">2021-07-27T04:19:00Z</dcterms:created>
  <dcterms:modified xsi:type="dcterms:W3CDTF">2022-02-18T11:10:00Z</dcterms:modified>
</cp:coreProperties>
</file>