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E05F90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>Протокол №</w:t>
      </w:r>
      <w:r w:rsidR="00F10149">
        <w:rPr>
          <w:rFonts w:ascii="Times New Roman" w:hAnsi="Times New Roman"/>
          <w:b/>
          <w:sz w:val="20"/>
          <w:szCs w:val="20"/>
        </w:rPr>
        <w:t>4</w:t>
      </w:r>
      <w:r w:rsidR="00163C8A" w:rsidRPr="00E05F90">
        <w:rPr>
          <w:rFonts w:ascii="Times New Roman" w:hAnsi="Times New Roman"/>
          <w:b/>
          <w:sz w:val="20"/>
          <w:szCs w:val="20"/>
        </w:rPr>
        <w:t>5</w:t>
      </w:r>
    </w:p>
    <w:p w:rsidR="001B7B27" w:rsidRPr="007E0BA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 xml:space="preserve">      итогов закупа ЛС и МИ  на 2022 год   </w:t>
      </w:r>
    </w:p>
    <w:p w:rsidR="001B7B27" w:rsidRPr="007E0BA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7E0BA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7E0BA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7E0BAA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163C8A" w:rsidRPr="00163C8A">
        <w:rPr>
          <w:rFonts w:ascii="Times New Roman" w:hAnsi="Times New Roman"/>
          <w:b/>
          <w:sz w:val="20"/>
          <w:szCs w:val="20"/>
        </w:rPr>
        <w:t>25</w:t>
      </w:r>
      <w:r w:rsidRPr="007E0BAA">
        <w:rPr>
          <w:rFonts w:ascii="Times New Roman" w:hAnsi="Times New Roman"/>
          <w:b/>
          <w:sz w:val="20"/>
          <w:szCs w:val="20"/>
        </w:rPr>
        <w:t>»</w:t>
      </w:r>
      <w:r w:rsidR="00137141" w:rsidRPr="007E0BAA">
        <w:rPr>
          <w:rFonts w:ascii="Times New Roman" w:hAnsi="Times New Roman"/>
          <w:b/>
          <w:sz w:val="20"/>
          <w:szCs w:val="20"/>
        </w:rPr>
        <w:t xml:space="preserve"> апреля</w:t>
      </w:r>
      <w:r w:rsidRPr="007E0BAA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7E0BAA">
        <w:rPr>
          <w:rFonts w:ascii="Times New Roman" w:hAnsi="Times New Roman"/>
          <w:b/>
          <w:sz w:val="20"/>
          <w:szCs w:val="20"/>
        </w:rPr>
        <w:t xml:space="preserve"> 202</w:t>
      </w:r>
      <w:r w:rsidRPr="007E0BAA">
        <w:rPr>
          <w:rFonts w:ascii="Times New Roman" w:hAnsi="Times New Roman"/>
          <w:b/>
          <w:sz w:val="20"/>
          <w:szCs w:val="20"/>
          <w:lang w:val="kk-KZ"/>
        </w:rPr>
        <w:t>2</w:t>
      </w:r>
      <w:r w:rsidRPr="007E0BAA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7E0BAA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7E0BAA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7E0BAA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7E0BAA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24B99" w:rsidRPr="00D058AC" w:rsidRDefault="00124B9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D058AC" w:rsidRDefault="001B7B27" w:rsidP="001B7B2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47"/>
        <w:gridCol w:w="3953"/>
        <w:gridCol w:w="837"/>
        <w:gridCol w:w="580"/>
        <w:gridCol w:w="1418"/>
        <w:gridCol w:w="1417"/>
        <w:gridCol w:w="1701"/>
        <w:gridCol w:w="1263"/>
      </w:tblGrid>
      <w:tr w:rsidR="00F10149" w:rsidRPr="00D058AC" w:rsidTr="00B914A3">
        <w:tc>
          <w:tcPr>
            <w:tcW w:w="709" w:type="dxa"/>
            <w:hideMark/>
          </w:tcPr>
          <w:p w:rsidR="00F10149" w:rsidRPr="00D058AC" w:rsidRDefault="00F10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547" w:type="dxa"/>
            <w:hideMark/>
          </w:tcPr>
          <w:p w:rsidR="00F10149" w:rsidRPr="00D058AC" w:rsidRDefault="00F10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953" w:type="dxa"/>
          </w:tcPr>
          <w:p w:rsidR="00F10149" w:rsidRDefault="00F10149" w:rsidP="00F1014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  <w:p w:rsidR="00F10149" w:rsidRPr="00D058AC" w:rsidRDefault="00F10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hideMark/>
          </w:tcPr>
          <w:p w:rsidR="00F10149" w:rsidRPr="00D058AC" w:rsidRDefault="00F10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580" w:type="dxa"/>
            <w:hideMark/>
          </w:tcPr>
          <w:p w:rsidR="00F10149" w:rsidRPr="00D058AC" w:rsidRDefault="00F10149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F10149" w:rsidRPr="00D058AC" w:rsidRDefault="00F10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7" w:type="dxa"/>
            <w:hideMark/>
          </w:tcPr>
          <w:p w:rsidR="00F10149" w:rsidRPr="00D058AC" w:rsidRDefault="00F10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F10149" w:rsidRPr="00D058AC" w:rsidRDefault="00F1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263" w:type="dxa"/>
            <w:hideMark/>
          </w:tcPr>
          <w:p w:rsidR="00F10149" w:rsidRPr="00D058AC" w:rsidRDefault="00F1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B914A3" w:rsidRPr="00D058AC" w:rsidTr="00B914A3">
        <w:tc>
          <w:tcPr>
            <w:tcW w:w="709" w:type="dxa"/>
          </w:tcPr>
          <w:p w:rsidR="00B914A3" w:rsidRPr="00D058AC" w:rsidRDefault="00B914A3" w:rsidP="00B91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7" w:type="dxa"/>
          </w:tcPr>
          <w:p w:rsidR="00B914A3" w:rsidRDefault="00B914A3" w:rsidP="00B914A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Набор реагентов для выявления антител класса G и M к Mycoplasma hominis методом иммуноферментного анализа.</w:t>
            </w:r>
          </w:p>
        </w:tc>
        <w:tc>
          <w:tcPr>
            <w:tcW w:w="3953" w:type="dxa"/>
          </w:tcPr>
          <w:p w:rsidR="00B914A3" w:rsidRDefault="00B914A3" w:rsidP="00B914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реагентов, предназначенный для выявления индивидуальных антител классов G и М к Mycoplasma hominis методом иммуноферментного анализа (ИФА).</w:t>
            </w:r>
            <w:r>
              <w:rPr>
                <w:color w:val="000000"/>
                <w:sz w:val="20"/>
                <w:szCs w:val="20"/>
              </w:rPr>
              <w:br/>
              <w:t xml:space="preserve"> рассчитан на 96 определений, включая контрольные образцы. Возможно 12 независимых постановок ИФА по 8 определений.</w:t>
            </w:r>
            <w:r>
              <w:rPr>
                <w:color w:val="000000"/>
                <w:sz w:val="20"/>
                <w:szCs w:val="20"/>
              </w:rPr>
              <w:br/>
              <w:t>Специфичность выявления антител классов G и М к Mycoplasma hominis – 100 %.</w:t>
            </w:r>
            <w:r>
              <w:rPr>
                <w:color w:val="000000"/>
                <w:sz w:val="20"/>
                <w:szCs w:val="20"/>
              </w:rPr>
              <w:br/>
              <w:t>Чувствительность выявления антител классов G и М к Mycoplasma hominis - 100%.</w:t>
            </w:r>
            <w:r>
              <w:rPr>
                <w:color w:val="000000"/>
                <w:sz w:val="20"/>
                <w:szCs w:val="20"/>
              </w:rPr>
              <w:br/>
              <w:t>Состав набора: 1.Иммуносорбент  – 1 шт.;</w:t>
            </w:r>
            <w:r>
              <w:rPr>
                <w:color w:val="000000"/>
                <w:sz w:val="20"/>
                <w:szCs w:val="20"/>
              </w:rPr>
              <w:br/>
              <w:t>2.Фосфатно-солевой буферный раствор с твином (ФСБ-Тх25) − 1 флакон, 26,0 ± 0,5 мл;</w:t>
            </w:r>
            <w:r>
              <w:rPr>
                <w:color w:val="000000"/>
                <w:sz w:val="20"/>
                <w:szCs w:val="20"/>
              </w:rPr>
              <w:br/>
              <w:t xml:space="preserve">3.Разводящий буферный раствор для сывороток (РБР-С) –  1 флакон, 12,0 ± 0,5 мл; </w:t>
            </w:r>
            <w:r>
              <w:rPr>
                <w:color w:val="000000"/>
                <w:sz w:val="20"/>
                <w:szCs w:val="20"/>
              </w:rPr>
              <w:br/>
              <w:t xml:space="preserve">4.Раствор конъюгата –   1 флакон, 12,0 ± 0,5 мл; </w:t>
            </w:r>
            <w:r>
              <w:rPr>
                <w:color w:val="000000"/>
                <w:sz w:val="20"/>
                <w:szCs w:val="20"/>
              </w:rPr>
              <w:br/>
              <w:t xml:space="preserve">5.Раствор конъюгата –  1 флакон, 12,0 ± 0,5 мл;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 xml:space="preserve">6.Положительный контрольный образец (К+IgG)  – 1 флакон, 1,5 ± 0,1 мл; </w:t>
            </w:r>
            <w:r>
              <w:rPr>
                <w:color w:val="000000"/>
                <w:sz w:val="20"/>
                <w:szCs w:val="20"/>
              </w:rPr>
              <w:br/>
              <w:t xml:space="preserve">7.Положительный контрольный образец (К+IgМ) –  – 1 флакон, 1,5 ± 0,1 мл; </w:t>
            </w:r>
            <w:r>
              <w:rPr>
                <w:color w:val="000000"/>
                <w:sz w:val="20"/>
                <w:szCs w:val="20"/>
              </w:rPr>
              <w:br/>
              <w:t>8.Отрицательный контрольный образец (К-) -  – 1 флакон, 2,5 ± 0,1 мл;</w:t>
            </w:r>
            <w:r>
              <w:rPr>
                <w:color w:val="000000"/>
                <w:sz w:val="20"/>
                <w:szCs w:val="20"/>
              </w:rPr>
              <w:br/>
              <w:t xml:space="preserve">9.Хромоген – тетраметилбензидин - субстрат (ТМБ–субстрат)  – 1 флакон, 12,0 ± 0,5 мл; </w:t>
            </w:r>
            <w:r>
              <w:rPr>
                <w:color w:val="000000"/>
                <w:sz w:val="20"/>
                <w:szCs w:val="20"/>
              </w:rPr>
              <w:br/>
              <w:t>10.Стоп-реагент – 0,9 М серная кислота, прозрачная бесцветная жидкость – 1 флакон, 6,0 ± 0,5 мл.</w:t>
            </w:r>
          </w:p>
        </w:tc>
        <w:tc>
          <w:tcPr>
            <w:tcW w:w="837" w:type="dxa"/>
          </w:tcPr>
          <w:p w:rsidR="00B914A3" w:rsidRDefault="00B914A3" w:rsidP="00B91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580" w:type="dxa"/>
          </w:tcPr>
          <w:p w:rsidR="00B914A3" w:rsidRDefault="00B914A3" w:rsidP="00B914A3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914A3" w:rsidRDefault="00B914A3" w:rsidP="00B914A3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103 800</w:t>
            </w:r>
          </w:p>
        </w:tc>
        <w:tc>
          <w:tcPr>
            <w:tcW w:w="1417" w:type="dxa"/>
          </w:tcPr>
          <w:p w:rsid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103 800,00   </w:t>
            </w:r>
          </w:p>
        </w:tc>
        <w:tc>
          <w:tcPr>
            <w:tcW w:w="1701" w:type="dxa"/>
          </w:tcPr>
          <w:p w:rsidR="00B914A3" w:rsidRPr="00723540" w:rsidRDefault="00B914A3" w:rsidP="00B91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Cracia Group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63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103 000</w:t>
            </w:r>
          </w:p>
        </w:tc>
      </w:tr>
      <w:tr w:rsidR="00B914A3" w:rsidRPr="00B914A3" w:rsidTr="00B914A3">
        <w:tc>
          <w:tcPr>
            <w:tcW w:w="709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1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547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для выявления антител классов GиМ к Ureaplasma urealyticum методом иммуноферментного анализа.</w:t>
            </w:r>
          </w:p>
        </w:tc>
        <w:tc>
          <w:tcPr>
            <w:tcW w:w="3953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Предназначен для выявления индивидуальных антител классов G и М к Ureaplasma urealyticum методом иммуноферментного анализа (ИФА). Набор  рассчитан на 96 определений, включая контрольные образцы. Возможно 12 независимых постановок ИФА по 8 определений.  Специфичность выявления антител классов G и М к Ureaplasma urealyticum – 100 %.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Чувствительность выявления антител классов G и М к Ureaplasma urealyticum - 100%. Срок годности 12 мес.    Класс 2 б – с повышенной степенью риска. Хранение наборов в упаковке предприятия-изготовителя должно производиться при температуре +2 до +8?С в течение всего срока годности. Допускается транспортирование при температуре от +8 до +25 0С в течение 5 дней.    Замораживание не допускается.</w:t>
            </w:r>
          </w:p>
        </w:tc>
        <w:tc>
          <w:tcPr>
            <w:tcW w:w="83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580" w:type="dxa"/>
          </w:tcPr>
          <w:p w:rsidR="00B914A3" w:rsidRPr="00B914A3" w:rsidRDefault="00B914A3" w:rsidP="00B914A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914A3" w:rsidRPr="00B914A3" w:rsidRDefault="00B914A3" w:rsidP="00B914A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111 000</w:t>
            </w:r>
          </w:p>
        </w:tc>
        <w:tc>
          <w:tcPr>
            <w:tcW w:w="141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111 000,00   </w:t>
            </w:r>
          </w:p>
        </w:tc>
        <w:tc>
          <w:tcPr>
            <w:tcW w:w="1701" w:type="dxa"/>
          </w:tcPr>
          <w:p w:rsidR="00B914A3" w:rsidRDefault="00B914A3" w:rsidP="00B914A3">
            <w:pPr>
              <w:jc w:val="center"/>
            </w:pP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Cracia Group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63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110 000</w:t>
            </w:r>
          </w:p>
        </w:tc>
      </w:tr>
      <w:tr w:rsidR="00B914A3" w:rsidRPr="00B914A3" w:rsidTr="00B914A3">
        <w:tc>
          <w:tcPr>
            <w:tcW w:w="709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1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7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реагентов для выявления антител классов G и М к Gardnerella vaginalis методом иммуноферментного 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анализа.</w:t>
            </w:r>
          </w:p>
        </w:tc>
        <w:tc>
          <w:tcPr>
            <w:tcW w:w="3953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Набор реагентов и других связанных с ними материалов, предназначенный для качественного и/или количественного определения антигенов бактерии Gardnerella vaginalis в клиническом образце хромогенным методом.  Специфичность выявления антител 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классов G и М к Gardnerella vaginalis – 100 %. Чувствительность выявления антител классов G и М к Gardnerella vaginalis - 100%.  Срок годности 12 мес.    Класс 2 б – с повышенной степенью риска. Хранение наборов в упаковке предприятия-изготовителя должно производиться при температуре +2 до +8?С в течение всего срока годности. Допускается транспортирование при температуре от +8 до +25 0С в течение 5 дней.    Замораживание не допускается.</w:t>
            </w:r>
          </w:p>
        </w:tc>
        <w:tc>
          <w:tcPr>
            <w:tcW w:w="83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580" w:type="dxa"/>
          </w:tcPr>
          <w:p w:rsidR="00B914A3" w:rsidRPr="00B914A3" w:rsidRDefault="00B914A3" w:rsidP="00B914A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914A3" w:rsidRPr="00B914A3" w:rsidRDefault="00B914A3" w:rsidP="00B914A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104 400</w:t>
            </w:r>
          </w:p>
        </w:tc>
        <w:tc>
          <w:tcPr>
            <w:tcW w:w="141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104 400,00   </w:t>
            </w:r>
          </w:p>
        </w:tc>
        <w:tc>
          <w:tcPr>
            <w:tcW w:w="1701" w:type="dxa"/>
          </w:tcPr>
          <w:p w:rsidR="00B914A3" w:rsidRDefault="00B914A3" w:rsidP="00B914A3">
            <w:pPr>
              <w:jc w:val="center"/>
            </w:pP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Cracia Group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63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104 000</w:t>
            </w:r>
          </w:p>
        </w:tc>
      </w:tr>
      <w:tr w:rsidR="00B914A3" w:rsidRPr="00B914A3" w:rsidTr="00B914A3">
        <w:tc>
          <w:tcPr>
            <w:tcW w:w="709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1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547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для выявления антител классов G и M к Trichomonas vaginalis методом иммуноферментного анализа.</w:t>
            </w:r>
          </w:p>
        </w:tc>
        <w:tc>
          <w:tcPr>
            <w:tcW w:w="3953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реагентов, предназначенный для выявления индивидуальных антител классов G и М к Trichomonas vaginalis методом иммуноферментного анализа (ИФА).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Набор реагентов «CAMOMILE – ТРИХО - G/М» рассчитан на 96 определений, включая контрольные образцы. Возможно 12 независимых постановок ИФА по 8 определений.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Специфичность выявления антител классов G и М к Trichomonas vaginalis – 100 %.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Чувствительность выявления антител классов G и М к Trichomonas vaginalis - 100%. Срок годности 12 мес.    Класс 2 б – с повышенной степенью риска. Хранение наборов в упаковке предприятия-изготовителя должно производиться при температуре +2 до +8?С в течение всего срока годности. Допускается транспортирование при температуре от +8 до +25 0С в течение 5 дней.    Замораживание не допускается.</w:t>
            </w:r>
          </w:p>
        </w:tc>
        <w:tc>
          <w:tcPr>
            <w:tcW w:w="83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580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1,00   </w:t>
            </w:r>
          </w:p>
        </w:tc>
        <w:tc>
          <w:tcPr>
            <w:tcW w:w="1418" w:type="dxa"/>
          </w:tcPr>
          <w:p w:rsidR="00B914A3" w:rsidRPr="00B914A3" w:rsidRDefault="00B914A3" w:rsidP="00B914A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106 500</w:t>
            </w:r>
          </w:p>
        </w:tc>
        <w:tc>
          <w:tcPr>
            <w:tcW w:w="141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106 500,00   </w:t>
            </w:r>
          </w:p>
        </w:tc>
        <w:tc>
          <w:tcPr>
            <w:tcW w:w="1701" w:type="dxa"/>
          </w:tcPr>
          <w:p w:rsidR="00B914A3" w:rsidRDefault="00B914A3" w:rsidP="00B914A3">
            <w:pPr>
              <w:jc w:val="center"/>
            </w:pP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Cracia Group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63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106 000</w:t>
            </w:r>
          </w:p>
        </w:tc>
      </w:tr>
      <w:tr w:rsidR="00B914A3" w:rsidRPr="00B914A3" w:rsidTr="00B914A3">
        <w:tc>
          <w:tcPr>
            <w:tcW w:w="709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1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547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реагентов для выявления антител классов G и A к Chlamydia trachomatis методом 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иммуноферментного анализа</w:t>
            </w:r>
          </w:p>
        </w:tc>
        <w:tc>
          <w:tcPr>
            <w:tcW w:w="3953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Предназначен для выявления индивидуальных антител классов G и А к Chlamydia trachomatis методом иммуноферментного анализа (ИФА). 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Набор реагентов «CAMOMILE – ХЛАМИ - G/А» рассчитан на 96 определений, включая контрольные образцы. Возможно 12 независимых постановок ИФА по 8 определений.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Специфичность выявления антител классов G и А к Chlamydia trachomatis – 100 %.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Чувствительность выявления антител классов G и А к Chlamydia trachomatis - 100%. Срок годности 12 мес.    Класс 2 б – с повышенной степенью риска.</w:t>
            </w:r>
          </w:p>
        </w:tc>
        <w:tc>
          <w:tcPr>
            <w:tcW w:w="83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580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1,00   </w:t>
            </w:r>
          </w:p>
        </w:tc>
        <w:tc>
          <w:tcPr>
            <w:tcW w:w="1418" w:type="dxa"/>
          </w:tcPr>
          <w:p w:rsidR="00B914A3" w:rsidRPr="00B914A3" w:rsidRDefault="00B914A3" w:rsidP="00B914A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100 800</w:t>
            </w:r>
          </w:p>
        </w:tc>
        <w:tc>
          <w:tcPr>
            <w:tcW w:w="141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100 800,00   </w:t>
            </w:r>
          </w:p>
        </w:tc>
        <w:tc>
          <w:tcPr>
            <w:tcW w:w="1701" w:type="dxa"/>
          </w:tcPr>
          <w:p w:rsidR="00B914A3" w:rsidRDefault="00B914A3" w:rsidP="00B914A3">
            <w:pPr>
              <w:jc w:val="center"/>
            </w:pP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Cracia Group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63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100 000</w:t>
            </w:r>
          </w:p>
        </w:tc>
      </w:tr>
      <w:tr w:rsidR="00B914A3" w:rsidRPr="00B914A3" w:rsidTr="00B914A3">
        <w:tc>
          <w:tcPr>
            <w:tcW w:w="709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1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547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для иммуноферментного выявления иммуноглобулинов класса G к вирусу простого герпеса 1 и 2 типов в сыворотке (плазме) крови.D-2152</w:t>
            </w:r>
          </w:p>
        </w:tc>
        <w:tc>
          <w:tcPr>
            <w:tcW w:w="3953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 предназначен для иммуноферментного выявления иммуноглобулинов класса G к вирусу простого герпеса 1 и 2 типов в сыворотке (плазме) крови. Среднее значение оптической плотности в лунках с отрицательным контрольным образцом, ед. опт. пл., не более: 0,15;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  <w:t>Среднее значение оптической плотности в лунках с положи-тельным контрольным образ-цом, ед. опт. пл., не менее: 0.5; Специфическая активность: специфичность выявления IgG к ВПГ, % - 100. чувствительность выявления IgG к ВПГ, % - 100.   Класс 2 б – с повышенной степенью риска</w:t>
            </w:r>
          </w:p>
        </w:tc>
        <w:tc>
          <w:tcPr>
            <w:tcW w:w="83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580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3,00   </w:t>
            </w:r>
          </w:p>
        </w:tc>
        <w:tc>
          <w:tcPr>
            <w:tcW w:w="1418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99 900,00   </w:t>
            </w:r>
          </w:p>
        </w:tc>
        <w:tc>
          <w:tcPr>
            <w:tcW w:w="141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299 700,00   </w:t>
            </w:r>
          </w:p>
        </w:tc>
        <w:tc>
          <w:tcPr>
            <w:tcW w:w="1701" w:type="dxa"/>
          </w:tcPr>
          <w:p w:rsidR="00B914A3" w:rsidRDefault="00B914A3" w:rsidP="00B914A3">
            <w:pPr>
              <w:jc w:val="center"/>
            </w:pP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Cracia Group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63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99 000</w:t>
            </w:r>
          </w:p>
        </w:tc>
      </w:tr>
      <w:tr w:rsidR="00B914A3" w:rsidRPr="00B914A3" w:rsidTr="00B914A3">
        <w:tc>
          <w:tcPr>
            <w:tcW w:w="709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1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547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Диапазон измерения: 0-16 мME/л. Чувствительность: 0,05 мМЕ/л.</w:t>
            </w:r>
          </w:p>
        </w:tc>
        <w:tc>
          <w:tcPr>
            <w:tcW w:w="3953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 предназначен для определения концентрации тиреотропного гормона (ТТГ) в сыворотке (плазме) крови методом твердофазного иммуноферментного анализа.   Класс 2 б – с повышенной степенью риска. Оптическая плотность калибровочного образца, содержащего 16 мМЕ/л ТТГ, ед. опт. пл., не менее: 1,0. Соотношение оптических плотностей калибровочных образцов, содержащих 0; 0,25; 1,0; 4,0; 8,0 и 16 мМЕ/л ТТГ: В0 &lt; В0,25 &lt; В1,0 &lt; В4,0 &lt; В8,0 &lt; В16.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(В0,25–В0)/(В16–В0)×100, %, в пределах: 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0,3-2,5. (В8,0–В0)/(В16–В0) ×100, %, в пределах: 40-70.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Чувствительность, мМЕ/л, не более: 0,05. Концентрация ТТГ в контрольном образце, мМЕ/л: в пределах, указанных в паспорте и на этикетке флакона. Коэффициент вариации (К. В.), %, не более: 8.  Тест на «открытие», %, в пределах: 90-110. Тест на «линейность» в диапазоне концентраций 0,25-16 мМЕ/л, %, в пределах: 90-110. Интерсепт, мМЕ/л, в пределах: 20% - 2,0-4,5; 50% - 6,0-9,5; 80% - 11-15.</w:t>
            </w:r>
          </w:p>
        </w:tc>
        <w:tc>
          <w:tcPr>
            <w:tcW w:w="83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580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1,00   </w:t>
            </w:r>
          </w:p>
        </w:tc>
        <w:tc>
          <w:tcPr>
            <w:tcW w:w="1418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83 100,00   </w:t>
            </w:r>
          </w:p>
        </w:tc>
        <w:tc>
          <w:tcPr>
            <w:tcW w:w="141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83 100,00   </w:t>
            </w:r>
          </w:p>
        </w:tc>
        <w:tc>
          <w:tcPr>
            <w:tcW w:w="1701" w:type="dxa"/>
          </w:tcPr>
          <w:p w:rsidR="00B914A3" w:rsidRDefault="00B914A3" w:rsidP="00B914A3">
            <w:pPr>
              <w:jc w:val="center"/>
            </w:pP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Cracia Group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63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83 000</w:t>
            </w:r>
          </w:p>
        </w:tc>
      </w:tr>
      <w:tr w:rsidR="00B914A3" w:rsidRPr="00B914A3" w:rsidTr="00B914A3">
        <w:tc>
          <w:tcPr>
            <w:tcW w:w="709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1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547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для иммуноферментного определения концентрации антител к тиреопероксидазе в сыворотке крови. Х-3968   Диапазон измерений: 0-1000 МЕ/мл. Чувствительность: 5 МЕ/мл.</w:t>
            </w:r>
          </w:p>
        </w:tc>
        <w:tc>
          <w:tcPr>
            <w:tcW w:w="3953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 предназначен для определения концентрации антител к тиреопероксидазе (Анти-ТПО) в сыворотке крови человека методом твердофазного иммуноферментного анализа. Оптическая плотность калибровочного образца В1000, ед. опт. пл., не менее: 1,0. Соотношение оптических плотностей калибровочных образцов, содержащих 0; 25; 100; 250, 500 и 1000 Ед/мл Анти-ТПО: B0&lt;B25&lt;B100&lt;B250&lt;B500&lt;В1000. (В25–В0)/(В1000–В0)х100,% в пределах: 6,0-9,5. (В500–В0)/(В1000–В0)х100,%, в пределах: 70-95. Чувствительность, Ед/мл, не более : 2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Концентрация Анти-ТПО в контрольном образце, Ед/мл: В пределах, указанных в паспорте и на этикетке флакона Коэффициент вариации (К.В.), %, не более: 8. Тест на «открытие», %, в пределах : 90-110. Тест на «линейность» в диапазоне концентраций 25-1000 Ед/мл, %, в пределах: 90-110. Интерсепт, Ед/мл, в пределах: 20% 55-85. 50% 150-350. 80% 400-600</w:t>
            </w:r>
          </w:p>
        </w:tc>
        <w:tc>
          <w:tcPr>
            <w:tcW w:w="83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580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1,00   </w:t>
            </w:r>
          </w:p>
        </w:tc>
        <w:tc>
          <w:tcPr>
            <w:tcW w:w="1418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91 800,00   </w:t>
            </w:r>
          </w:p>
        </w:tc>
        <w:tc>
          <w:tcPr>
            <w:tcW w:w="141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91 800,00   </w:t>
            </w:r>
          </w:p>
        </w:tc>
        <w:tc>
          <w:tcPr>
            <w:tcW w:w="1701" w:type="dxa"/>
          </w:tcPr>
          <w:p w:rsidR="00B914A3" w:rsidRDefault="00B914A3" w:rsidP="00B914A3">
            <w:pPr>
              <w:jc w:val="center"/>
            </w:pP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Cracia Group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63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91 400</w:t>
            </w:r>
          </w:p>
        </w:tc>
      </w:tr>
      <w:tr w:rsidR="00B914A3" w:rsidRPr="00B914A3" w:rsidTr="00B914A3">
        <w:tc>
          <w:tcPr>
            <w:tcW w:w="709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1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547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реагентов для иммуноферментного определения 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концентрации ревматоидного фактора класса М в сыворотке крови.                                   Диапазон измерений: 0-300 МЕ/мл. Чувствительность: 1,5 Ед/мл. А-8652</w:t>
            </w:r>
          </w:p>
        </w:tc>
        <w:tc>
          <w:tcPr>
            <w:tcW w:w="3953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Набор предназначен для иммуноферментного определения концентрации ревматоидного фактора 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класса М (РФ М) в сыворотке крови.   Класс 2 а – со средней степенью риска. Оптическая плотность калибровочной пробы, содержащей 300 Ед/мл РФ М, ед. опт. пл., не менее,  - 1,0; Соотношение оптических плотностей калибровочных проб, содер-жащих 0; 20; 50; 100; 200 и 300 Ед/мл РФ М, - В0 &lt; В20&lt;В50 &lt; В100 &lt; В200 &lt;В300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(В20-В0)/(В100-В0) х 100, %, в пределах, - 5-10; (В200– В0)/(В300– В0) х 100, %, в пределах, - 65-95. Чувствительность, Ед/мл, не более, - 1,5.</w:t>
            </w:r>
          </w:p>
        </w:tc>
        <w:tc>
          <w:tcPr>
            <w:tcW w:w="83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580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1,00   </w:t>
            </w:r>
          </w:p>
        </w:tc>
        <w:tc>
          <w:tcPr>
            <w:tcW w:w="1418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100 800,00   </w:t>
            </w:r>
          </w:p>
        </w:tc>
        <w:tc>
          <w:tcPr>
            <w:tcW w:w="141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100 800,00   </w:t>
            </w:r>
          </w:p>
        </w:tc>
        <w:tc>
          <w:tcPr>
            <w:tcW w:w="1701" w:type="dxa"/>
          </w:tcPr>
          <w:p w:rsidR="00B914A3" w:rsidRDefault="00B914A3" w:rsidP="00B914A3">
            <w:pPr>
              <w:jc w:val="center"/>
            </w:pP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Cracia Group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63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100 000</w:t>
            </w:r>
          </w:p>
        </w:tc>
      </w:tr>
      <w:tr w:rsidR="00B914A3" w:rsidRPr="00B914A3" w:rsidTr="00B914A3">
        <w:tc>
          <w:tcPr>
            <w:tcW w:w="709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1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547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для иммуноферментного определения концентрации суммарного ревматоидного фактора в сыворотке крови. А-8654             Диапазон измерений: 0-300 Ед/мл. Чувствительность: 1,5 Ед/мл.</w:t>
            </w:r>
          </w:p>
        </w:tc>
        <w:tc>
          <w:tcPr>
            <w:tcW w:w="3953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 предназначен для иммуноферментного определения концентрации суммарного ревматоидного фактора в сыворотке крови.Оптическая плотность калибровочной пробы, содержащей 300 Ед/мл РФ суммарного, ед. опт. пл., не менее,  - 1,0; Соотношение оптических плотностей калибровочных проб, содержащих 0; 25; 50; 100; 200 и 300 Ед/мл РФ суммарного, - В0 &lt; В25&lt;В50 &lt; В100 &lt; В200 &lt;В300; (В25– В0)/(В300 – В0)х100, %, в пределах, - 5-10; (В200– В0)/(В300– В0)х100, %, в пределах, - 55-85; Чувствительность, Ед/мл, не более, - 1,5.</w:t>
            </w:r>
          </w:p>
        </w:tc>
        <w:tc>
          <w:tcPr>
            <w:tcW w:w="83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580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1,00   </w:t>
            </w:r>
          </w:p>
        </w:tc>
        <w:tc>
          <w:tcPr>
            <w:tcW w:w="1418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100 800,00   </w:t>
            </w:r>
          </w:p>
        </w:tc>
        <w:tc>
          <w:tcPr>
            <w:tcW w:w="141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100 800,00   </w:t>
            </w:r>
          </w:p>
        </w:tc>
        <w:tc>
          <w:tcPr>
            <w:tcW w:w="1701" w:type="dxa"/>
          </w:tcPr>
          <w:p w:rsidR="00B914A3" w:rsidRDefault="00B914A3" w:rsidP="00B914A3">
            <w:pPr>
              <w:jc w:val="center"/>
            </w:pP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Cracia Group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63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100 400</w:t>
            </w:r>
          </w:p>
        </w:tc>
      </w:tr>
      <w:tr w:rsidR="00B914A3" w:rsidRPr="00B914A3" w:rsidTr="00B914A3">
        <w:tc>
          <w:tcPr>
            <w:tcW w:w="709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1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47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для выявления антител класса G и М к Toxoplasma gondii методом иммуноферментного анализа.</w:t>
            </w:r>
          </w:p>
        </w:tc>
        <w:tc>
          <w:tcPr>
            <w:tcW w:w="3953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 предназначен для выявления антител классов G и М к Toxoplasma gondii методом иммуноферментного анализа в сыворотке (плазме) крови человека. Специфичность выявления антител классов G и М к Toxoplasma gondii – 100 %;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Чувствительность выявления антител классов G и М к Toxoplasma gondii - 100%. Класс 2 а – со средней степенью риска. Хранение при температуре от +2 до +8ºС.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Замораживание не допускается.</w:t>
            </w:r>
          </w:p>
        </w:tc>
        <w:tc>
          <w:tcPr>
            <w:tcW w:w="83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580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1,00   </w:t>
            </w:r>
          </w:p>
        </w:tc>
        <w:tc>
          <w:tcPr>
            <w:tcW w:w="1418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107 400,00   </w:t>
            </w:r>
          </w:p>
        </w:tc>
        <w:tc>
          <w:tcPr>
            <w:tcW w:w="141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107 400,00   </w:t>
            </w:r>
          </w:p>
        </w:tc>
        <w:tc>
          <w:tcPr>
            <w:tcW w:w="1701" w:type="dxa"/>
          </w:tcPr>
          <w:p w:rsidR="00B914A3" w:rsidRDefault="00B914A3" w:rsidP="00B914A3">
            <w:pPr>
              <w:jc w:val="center"/>
            </w:pP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Cracia Group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63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107 000</w:t>
            </w:r>
          </w:p>
        </w:tc>
      </w:tr>
      <w:tr w:rsidR="00B914A3" w:rsidRPr="00B914A3" w:rsidTr="00B914A3">
        <w:tc>
          <w:tcPr>
            <w:tcW w:w="709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1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547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для выявления антител классов G и А к Lamblia intestinalis методом иммуноферментного анализа</w:t>
            </w:r>
          </w:p>
        </w:tc>
        <w:tc>
          <w:tcPr>
            <w:tcW w:w="3953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Предназначен для выявления индивидуальных антител классов G и А к Lamblia intestinalis методом иммуноферментного анализа (ИФА). 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Набор реагентов «CAMOMILE – ЛЯМБЛИОЗ - G/А» рассчитан на 96 определений, включая контрольные образцы. Возможно 12 независимых постановок ИФА по 8 определений.   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Специфичность выявления антител классов G и А к Lamblia intestinalis – 100 %.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Чувствительность выявления антител классов G и А к Lamblia intestinalis - 100%. Класс 2 а – со средней степенью риска. Хранение при температуре от +2 до +8ºС.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Замораживание не допускается.</w:t>
            </w:r>
          </w:p>
        </w:tc>
        <w:tc>
          <w:tcPr>
            <w:tcW w:w="83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580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3,00   </w:t>
            </w:r>
          </w:p>
        </w:tc>
        <w:tc>
          <w:tcPr>
            <w:tcW w:w="1418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111 000,00   </w:t>
            </w:r>
          </w:p>
        </w:tc>
        <w:tc>
          <w:tcPr>
            <w:tcW w:w="141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333 000,00   </w:t>
            </w:r>
          </w:p>
        </w:tc>
        <w:tc>
          <w:tcPr>
            <w:tcW w:w="1701" w:type="dxa"/>
          </w:tcPr>
          <w:p w:rsidR="00B914A3" w:rsidRDefault="00B914A3" w:rsidP="00B914A3">
            <w:pPr>
              <w:jc w:val="center"/>
            </w:pP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Cracia Group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63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110 000</w:t>
            </w:r>
          </w:p>
        </w:tc>
      </w:tr>
      <w:tr w:rsidR="00B914A3" w:rsidRPr="00B914A3" w:rsidTr="00B914A3">
        <w:tc>
          <w:tcPr>
            <w:tcW w:w="709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1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47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для выявления антител класса G к Ascaris lumbricoides методом иммуноферментного анализа</w:t>
            </w:r>
          </w:p>
        </w:tc>
        <w:tc>
          <w:tcPr>
            <w:tcW w:w="3953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реагентов, предназначенный для выявления индивидуальных антител класса G к Ascaris lumbricoides методом иммуноферментного анализа (ИФА), рассчитан на 96 определений, включая контрольные образцы. Возможно 12 независимых постановок ИФА по 8 определений. 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Специфичность выявления антител класса G к Ascaris lumbricoides – 100 %.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Чувствительность выявления антител класса G к Ascaris lumbricoides - 100%. Класс 2 а – со средней степенью риска. Хранение при температуре от +2 до +8ºС.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Замораживание не допускается.</w:t>
            </w:r>
          </w:p>
        </w:tc>
        <w:tc>
          <w:tcPr>
            <w:tcW w:w="83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580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3,00   </w:t>
            </w:r>
          </w:p>
        </w:tc>
        <w:tc>
          <w:tcPr>
            <w:tcW w:w="1418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120 600,00   </w:t>
            </w:r>
          </w:p>
        </w:tc>
        <w:tc>
          <w:tcPr>
            <w:tcW w:w="141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361 800,00   </w:t>
            </w:r>
          </w:p>
        </w:tc>
        <w:tc>
          <w:tcPr>
            <w:tcW w:w="1701" w:type="dxa"/>
          </w:tcPr>
          <w:p w:rsidR="00B914A3" w:rsidRDefault="00B914A3" w:rsidP="00B914A3">
            <w:pPr>
              <w:jc w:val="center"/>
            </w:pP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Cracia Group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63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120 350</w:t>
            </w:r>
          </w:p>
        </w:tc>
      </w:tr>
      <w:tr w:rsidR="00B914A3" w:rsidRPr="00B914A3" w:rsidTr="00B914A3">
        <w:tc>
          <w:tcPr>
            <w:tcW w:w="709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1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47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для иммуноферментного выявления иммуноглобулинов класса G к антигенам описторхисов в сыворотке (плазме) крови. D-2952</w:t>
            </w:r>
          </w:p>
        </w:tc>
        <w:tc>
          <w:tcPr>
            <w:tcW w:w="3953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Среднее значение оптической плотности в лунках с положительным контрольным образцом, ед. опт. плотн., не менее 0,80;Среднее значение оптической плотности в лунках со стандартным образцом предприятия СОП+, ед. опт. плотн., не менее 0,80;Среднее значение оптической плотности в лунках с 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отрицательным контрольным образцом, ед. опт. плотн, не более 0,25;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  <w:t xml:space="preserve">Титр стандартного образца предприятия СОП+ не менее 1:800 Показатели правильности определения: Специфическая активность  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  <w:t>чувствительность выявления IgG к антигенам описторхисов составляет 100 % (по СПП № 05-2-280);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  <w:t>специфичность выявления IgG к антигенам описторхисов составляет 100 % (по СПП № 05-2-267);   Класс 2 б – с повышенной степенью риска</w:t>
            </w:r>
          </w:p>
        </w:tc>
        <w:tc>
          <w:tcPr>
            <w:tcW w:w="83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580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1,00   </w:t>
            </w:r>
          </w:p>
        </w:tc>
        <w:tc>
          <w:tcPr>
            <w:tcW w:w="1418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109 200,00   </w:t>
            </w:r>
          </w:p>
        </w:tc>
        <w:tc>
          <w:tcPr>
            <w:tcW w:w="141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109 200,00   </w:t>
            </w:r>
          </w:p>
        </w:tc>
        <w:tc>
          <w:tcPr>
            <w:tcW w:w="1701" w:type="dxa"/>
          </w:tcPr>
          <w:p w:rsidR="00B914A3" w:rsidRDefault="00B914A3" w:rsidP="00B914A3">
            <w:pPr>
              <w:jc w:val="center"/>
            </w:pP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Cracia Group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63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108 700</w:t>
            </w:r>
          </w:p>
        </w:tc>
      </w:tr>
      <w:tr w:rsidR="00B914A3" w:rsidRPr="00B914A3" w:rsidTr="00B914A3">
        <w:tc>
          <w:tcPr>
            <w:tcW w:w="709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1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547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для иммуноферментного выявления иммуноглобулинов класса М к антигенам описторхисов в сыворотке (плазме) крови. D-2954</w:t>
            </w:r>
          </w:p>
        </w:tc>
        <w:tc>
          <w:tcPr>
            <w:tcW w:w="3953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Среднее значение оптической плотности в лунках с отрицательным контрольным образцом, ед. опт. плотн, не более 0,20; Среднее значение оптической плотности в лунках с положительным контрольным образцом, ед. опт. плотн., не менее 0,50; Среднее значение оптической плотности в лунках с отрицательным стандартным образцом предприятия СОП–, ед. опт. плотн., не более 0,20;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Среднее значение оптической плотности в лунках со стандартным образцом предприятия СОП+, ед. опт. плотн., не менее 0,50; Титр стандартного образца предприятия СОП+, не менее 1:400, Показатели правильности определения: Специфическая активность: чувствительность выявления IgМ к антигенам описторхисов составляет 100 % (по СПП № 05-2-343); специфичность выявления IgМ к антигенам описторхисов составляет 100 % (по СПП № 05-2-284);</w:t>
            </w:r>
          </w:p>
        </w:tc>
        <w:tc>
          <w:tcPr>
            <w:tcW w:w="83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580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1,00   </w:t>
            </w:r>
          </w:p>
        </w:tc>
        <w:tc>
          <w:tcPr>
            <w:tcW w:w="1418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109 200,00   </w:t>
            </w:r>
          </w:p>
        </w:tc>
        <w:tc>
          <w:tcPr>
            <w:tcW w:w="141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109 200,00   </w:t>
            </w:r>
          </w:p>
        </w:tc>
        <w:tc>
          <w:tcPr>
            <w:tcW w:w="1701" w:type="dxa"/>
          </w:tcPr>
          <w:p w:rsidR="00B914A3" w:rsidRDefault="00B914A3" w:rsidP="00B914A3">
            <w:pPr>
              <w:jc w:val="center"/>
            </w:pP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Cracia Group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63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109 000</w:t>
            </w:r>
          </w:p>
        </w:tc>
      </w:tr>
      <w:tr w:rsidR="00B914A3" w:rsidRPr="00B914A3" w:rsidTr="00B914A3">
        <w:tc>
          <w:tcPr>
            <w:tcW w:w="709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1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47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для иммуноферментного выявления суммарных антител к core -антигену вируса гепатита В, в сыворотке (плазме) крови. D-0566</w:t>
            </w:r>
          </w:p>
        </w:tc>
        <w:tc>
          <w:tcPr>
            <w:tcW w:w="3953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реагентов для иммуноферментного выявления суммарных антител к core-антигену вируса гепатита В «ВектоHBсAg-антитела » (далее по тексту — набор) предназначен для выявления суммарных антител к core-антигену вируса гепатита В (HBcAg) в сыворотке (плазме) крови 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методом твердофазного иммуноферментного анализа. Среднее значение оптической плотности в лунках с положительным контрольным образцом, ед. опт. пл., не более: 0,3;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Среднее значение оптической плотности в лунках с отрицательным контрольным образцом, ед. опт. пл., не менее: 1,2;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Чувствительность выявления антител к HВcAg по СПП 05-2-199, %: 100;Специфичность выявления антител к HВcAg по СПП 05-2-199, %: 100.   Класс 3 – с высокой степенью риска</w:t>
            </w:r>
          </w:p>
        </w:tc>
        <w:tc>
          <w:tcPr>
            <w:tcW w:w="83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580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2,00   </w:t>
            </w:r>
          </w:p>
        </w:tc>
        <w:tc>
          <w:tcPr>
            <w:tcW w:w="1418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87 300,00   </w:t>
            </w:r>
          </w:p>
        </w:tc>
        <w:tc>
          <w:tcPr>
            <w:tcW w:w="141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174 600,00   </w:t>
            </w:r>
          </w:p>
        </w:tc>
        <w:tc>
          <w:tcPr>
            <w:tcW w:w="1701" w:type="dxa"/>
          </w:tcPr>
          <w:p w:rsidR="00B914A3" w:rsidRDefault="00B914A3" w:rsidP="00B914A3">
            <w:pPr>
              <w:jc w:val="center"/>
            </w:pP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Cracia Group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63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87 100</w:t>
            </w:r>
          </w:p>
        </w:tc>
      </w:tr>
      <w:tr w:rsidR="00B914A3" w:rsidRPr="00B914A3" w:rsidTr="00B914A3">
        <w:tc>
          <w:tcPr>
            <w:tcW w:w="709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1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547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для иммуноферментного выявления HBsAg (одностадийная постановка), в сыворотке (плазме) крови. Чувствительность: 0,05/0,01 МЕ/мл Срок годности: 24 месяца D-0556</w:t>
            </w:r>
          </w:p>
        </w:tc>
        <w:tc>
          <w:tcPr>
            <w:tcW w:w="3953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 предназначен для иммуноферментного выявления поверхностного антигена вируса гепатита В в сыворотке (плазме) крови, препаратах крови человека (иммуноглобулины, интерфероны, криопреципитат, альбумин). Оптическая плотность в лунках с отрицательным контрольным образцом, ед. опт. плотн., не более: 0,1 - при измерении в двухволновом режиме;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  <w:t>0,15 - при измерении на одной длине волны. Оптическая плотность в лунках с положительным контрольным образцом, ед. опт. плотн., не менее 1,0. Оптическая плотность в лунках со слабоположительным контрольным образцом, ед. опт. плотн., должна превышать ОПкрит, не превышает 0,2; Показатели правильности определения. Чувствительность определения HBsAg, МЕ/мл:0,05 МЕ/мл при процедурах 1 и 2, 0,1 МЕ/мл при процедуре 3 Специфичность определения HBsAg, 100%</w:t>
            </w:r>
          </w:p>
        </w:tc>
        <w:tc>
          <w:tcPr>
            <w:tcW w:w="83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580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1,00   </w:t>
            </w:r>
          </w:p>
        </w:tc>
        <w:tc>
          <w:tcPr>
            <w:tcW w:w="1418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51 600,00   </w:t>
            </w:r>
          </w:p>
        </w:tc>
        <w:tc>
          <w:tcPr>
            <w:tcW w:w="141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51 600,00   </w:t>
            </w:r>
          </w:p>
        </w:tc>
        <w:tc>
          <w:tcPr>
            <w:tcW w:w="1701" w:type="dxa"/>
          </w:tcPr>
          <w:p w:rsidR="00B914A3" w:rsidRDefault="00B914A3" w:rsidP="00B914A3">
            <w:pPr>
              <w:jc w:val="center"/>
            </w:pP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Cracia Group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63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51 500</w:t>
            </w:r>
          </w:p>
        </w:tc>
      </w:tr>
      <w:tr w:rsidR="00B914A3" w:rsidRPr="00B914A3" w:rsidTr="00B914A3">
        <w:tc>
          <w:tcPr>
            <w:tcW w:w="709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1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47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реагентов для иммуноферментного выявления иммуноглобулинов 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классов G и М к вирусу гепатита С, в сыворотке (плазме) крови. D-0772</w:t>
            </w:r>
          </w:p>
        </w:tc>
        <w:tc>
          <w:tcPr>
            <w:tcW w:w="3953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Набор предназначен для выявления иммуноглобулинов классов G и M к вирусу гепатита С в сыворотке (плазме) крови человека и препаратах крови человека 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(иммуноглобулины, интерфероны, криопреципитат, альбумин) методом иммуноферментного анализа. Оптическая плотность в лунках с положительным контрольным образцом, ед. опт. плотн., не менее: 0,8;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Оптическая плотность в лунках с отрицательным контрольным образцом, ед. опт. плотн., не более: 0,2; Чувствительность по образцам стандартной панели сывороток, содержащим антитела к ВГС, %: 100; Специфичность по образцам стандартной панели сывороток, не содержащим антитела к ВГС, %: 100;</w:t>
            </w:r>
          </w:p>
        </w:tc>
        <w:tc>
          <w:tcPr>
            <w:tcW w:w="83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580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3,00   </w:t>
            </w:r>
          </w:p>
        </w:tc>
        <w:tc>
          <w:tcPr>
            <w:tcW w:w="1418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87 300,00   </w:t>
            </w:r>
          </w:p>
        </w:tc>
        <w:tc>
          <w:tcPr>
            <w:tcW w:w="141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261 900,00   </w:t>
            </w:r>
          </w:p>
        </w:tc>
        <w:tc>
          <w:tcPr>
            <w:tcW w:w="1701" w:type="dxa"/>
          </w:tcPr>
          <w:p w:rsidR="00B914A3" w:rsidRDefault="00B914A3" w:rsidP="00B914A3">
            <w:pPr>
              <w:jc w:val="center"/>
            </w:pP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Cracia Group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63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87 200</w:t>
            </w:r>
          </w:p>
        </w:tc>
      </w:tr>
      <w:tr w:rsidR="00B914A3" w:rsidRPr="00B914A3" w:rsidTr="00B914A3">
        <w:tc>
          <w:tcPr>
            <w:tcW w:w="709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1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547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для иммуноферментного определения концентрации хорионического гонадотропина в сыворотке крови.                               Диапазон измерений: 0-500 МЕ/л. Чувствительность: 2 МЕ/л. D-4154</w:t>
            </w:r>
          </w:p>
        </w:tc>
        <w:tc>
          <w:tcPr>
            <w:tcW w:w="3953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 предназначен для определения концентрации хорионического гонадотропина (ХГЧ) в сыворотке крови методом твердофазного иммуноферментного анализа. Оптическая плотность калибровочного образца, содержащего 500 МЕ/л ХГЧ, ед. опт. плотн., не менее: 1,0.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Соотношение оптических плотностей калибровочных образцов, содержащих 0; 15; 50; 125; 250 и 500 МЕ/л ХГЧ: В0&lt; В15&lt; В50&lt; В125&lt; В250&lt; В500,  (В15–В0)/(В500–В0)?100, %, в пределах: 2-5, (В250–В0)/(В500–В0)?100, %, в пределах: 50-70.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Чувствительность, МЕ/л, не более:  2.Концентрация ХГЧ в контрольном образце, МЕ/л: В пределах, указанных в паспорте и на этикетке флакона. Коэффициент вариации, (К.В.) %,  не более: 8.Тест на «открытие», %, в пределах:  90-110.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Тест на «линейность» в диапазоне концентраций 15-500 МЕ/л, %, в пределах: 90-110. Интерсепт, МЕ/л, в пределах: 20% 60-100, 50% 170-240, 80% 300-450</w:t>
            </w:r>
          </w:p>
        </w:tc>
        <w:tc>
          <w:tcPr>
            <w:tcW w:w="83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580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3,00   </w:t>
            </w:r>
          </w:p>
        </w:tc>
        <w:tc>
          <w:tcPr>
            <w:tcW w:w="1418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82 500,00   </w:t>
            </w:r>
          </w:p>
        </w:tc>
        <w:tc>
          <w:tcPr>
            <w:tcW w:w="141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247 500,00   </w:t>
            </w:r>
          </w:p>
        </w:tc>
        <w:tc>
          <w:tcPr>
            <w:tcW w:w="1701" w:type="dxa"/>
          </w:tcPr>
          <w:p w:rsidR="00B914A3" w:rsidRDefault="00B914A3" w:rsidP="00B914A3">
            <w:pPr>
              <w:jc w:val="center"/>
            </w:pP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Cracia Group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63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82 350</w:t>
            </w:r>
          </w:p>
        </w:tc>
      </w:tr>
      <w:tr w:rsidR="00B914A3" w:rsidRPr="00B914A3" w:rsidTr="00B914A3">
        <w:tc>
          <w:tcPr>
            <w:tcW w:w="709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1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547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для иммуноферментного выявления иммуноглобулинов класса G к грибам рода Aspergillus в сыворотке (плазме) крови. D-4752</w:t>
            </w:r>
          </w:p>
        </w:tc>
        <w:tc>
          <w:tcPr>
            <w:tcW w:w="3953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предназначен для иммуноферментного выявления иммуноглобулинов класса G (IgG) к грибам рода Aspergillus в сыворотке (плазме) крови. Среднее значение оптической плотности в лунках с раствором для разведения сывороток (контроль оптической плотности раствора тетраметилбензидина), ед. опт. пл., не более: 0,15; Среднее значение оптической плотности в лунках с отрицательным контрольным образцом, ед. опт. пл, не более: 0,30;  Среднее значение оптической плотности в лунках с положительным контрольным образцом, ед. опт. пл., не менее: 0,80; Среднее значение оптической плотности в лунках с положительным стандартным образцом предприятия СОП+, ед. опт. пл., не менее : 0,80; Титр стандартного образца предприятия СОП+, не менее: 1:800; Специфическая активность:  чувствительность выявления IgG к антигенам A. fumigatus, % - 100; специфичность выявления IgG к антигенам A. fumigatus, % - 100.</w:t>
            </w:r>
          </w:p>
        </w:tc>
        <w:tc>
          <w:tcPr>
            <w:tcW w:w="83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580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117 600,00</w:t>
            </w:r>
          </w:p>
        </w:tc>
        <w:tc>
          <w:tcPr>
            <w:tcW w:w="141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117 600,00   </w:t>
            </w:r>
          </w:p>
        </w:tc>
        <w:tc>
          <w:tcPr>
            <w:tcW w:w="1701" w:type="dxa"/>
          </w:tcPr>
          <w:p w:rsidR="00B914A3" w:rsidRDefault="00B914A3" w:rsidP="00B914A3">
            <w:pPr>
              <w:jc w:val="center"/>
            </w:pP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Cracia Group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63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117 400</w:t>
            </w:r>
          </w:p>
        </w:tc>
      </w:tr>
      <w:tr w:rsidR="00B914A3" w:rsidRPr="00B914A3" w:rsidTr="00B914A3">
        <w:tc>
          <w:tcPr>
            <w:tcW w:w="709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1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47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для выявления антител класса М к антигенам Candida albicans методом иммуноферментного анализа.</w:t>
            </w:r>
          </w:p>
        </w:tc>
        <w:tc>
          <w:tcPr>
            <w:tcW w:w="3953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Набор предназначен для выявления антител класса M к Candida albicans методом иммуноферментного анализа в сыворотке (плазме) крови человека.набор реагентов, предназначенный для выявления индивидуальных антител класса М к Candida albicans методом иммуноферментного анализа (ИФА). Рассчитан на 96 определений, включая контрольные образцы. Возможно 12 независимых постановок ИФА по 8 определений Специфичность выявления антител класса M к Candida albicans – 100 %. Чувствительность выявления антител класса M к Candida albicans - 100%.</w:t>
            </w:r>
          </w:p>
        </w:tc>
        <w:tc>
          <w:tcPr>
            <w:tcW w:w="83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580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109 500,00</w:t>
            </w:r>
          </w:p>
        </w:tc>
        <w:tc>
          <w:tcPr>
            <w:tcW w:w="141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109 500,00   </w:t>
            </w:r>
          </w:p>
        </w:tc>
        <w:tc>
          <w:tcPr>
            <w:tcW w:w="1701" w:type="dxa"/>
          </w:tcPr>
          <w:p w:rsidR="00B914A3" w:rsidRDefault="00B914A3" w:rsidP="00B914A3">
            <w:pPr>
              <w:jc w:val="center"/>
            </w:pP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Cracia Group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63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109 000</w:t>
            </w:r>
          </w:p>
        </w:tc>
      </w:tr>
      <w:tr w:rsidR="00B914A3" w:rsidRPr="00B914A3" w:rsidTr="00B914A3">
        <w:tc>
          <w:tcPr>
            <w:tcW w:w="709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1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2547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для выявления антител класса G к антигенам Candida albicans методом иммуноферментного анализа.</w:t>
            </w:r>
          </w:p>
        </w:tc>
        <w:tc>
          <w:tcPr>
            <w:tcW w:w="3953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Набор реагентов предназначен для выявления индивидуальных специфических антител класса G к Candida albicans в сыворотке (плазме) крови человека. Специфичность выявления антител класса G к Candida albicans – 100 %.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Чувствительность выявления антител класса G к Candida albicans - 100%. Класс 2 а – со средней степенью риска</w:t>
            </w:r>
          </w:p>
        </w:tc>
        <w:tc>
          <w:tcPr>
            <w:tcW w:w="83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580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109 200,00</w:t>
            </w:r>
          </w:p>
        </w:tc>
        <w:tc>
          <w:tcPr>
            <w:tcW w:w="141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109 200,00   </w:t>
            </w:r>
          </w:p>
        </w:tc>
        <w:tc>
          <w:tcPr>
            <w:tcW w:w="1701" w:type="dxa"/>
          </w:tcPr>
          <w:p w:rsidR="00B914A3" w:rsidRDefault="00B914A3" w:rsidP="00B914A3">
            <w:pPr>
              <w:jc w:val="center"/>
            </w:pP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Cracia Group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63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109 000</w:t>
            </w:r>
          </w:p>
        </w:tc>
      </w:tr>
      <w:tr w:rsidR="00B914A3" w:rsidRPr="00B914A3" w:rsidTr="00B914A3">
        <w:tc>
          <w:tcPr>
            <w:tcW w:w="709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14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47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Инкубационные флаконы BACT/ALERT PF PLUS из комплекта Автоматический бактериологический анализатор культур крови и микобактерий  BacT/Alert 3D Combo, (100 шт/уп) (100х30мл), t  +15 +30 С (BioMerieux inc., США) (BioMerieux inc., США)</w:t>
            </w: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Артикул 410853</w:t>
            </w:r>
          </w:p>
        </w:tc>
        <w:tc>
          <w:tcPr>
            <w:tcW w:w="3953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Пластиковые флаконы с питательной средой и адсорбирущими полимерными гранулами для определения аэробной и факультативно анаэробной флоры в педиатрических образцах при работе на автоматическом бактериологическом анализаторе культур крови. Одноразовые флаконы BacT/ALERT PF Plus содержат 30 мл комплексной питательной среды и ≥1,6 г адсорбирующих полимерных гранул. Среда состоит из следующих компонентов: сочетание пептонов/биологических экстрактов (≥1,85 % вес/объем), антикоагулянтов (≥0,083 % вес/объем), витаминов и аминокислот (≥0,00145 % вес/объем), источников углерода (≥0,45 % вес/объем), следовых веществ (≥0,0005 % вес/объем). Атмосфера во флаконах разреженная, N2, O2 и CO2. 100 шт/уп.  410853</w:t>
            </w:r>
          </w:p>
        </w:tc>
        <w:tc>
          <w:tcPr>
            <w:tcW w:w="83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580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>759000</w:t>
            </w:r>
          </w:p>
        </w:tc>
        <w:tc>
          <w:tcPr>
            <w:tcW w:w="141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759 000,00   </w:t>
            </w:r>
          </w:p>
        </w:tc>
        <w:tc>
          <w:tcPr>
            <w:tcW w:w="1701" w:type="dxa"/>
          </w:tcPr>
          <w:p w:rsidR="00B914A3" w:rsidRDefault="00B914A3" w:rsidP="00B914A3">
            <w:pPr>
              <w:jc w:val="center"/>
            </w:pP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Cracia Group</w:t>
            </w:r>
            <w:r w:rsidRPr="00E261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63" w:type="dxa"/>
          </w:tcPr>
          <w:p w:rsidR="00B914A3" w:rsidRPr="00B914A3" w:rsidRDefault="00B914A3" w:rsidP="00B91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757 000</w:t>
            </w:r>
          </w:p>
        </w:tc>
      </w:tr>
      <w:tr w:rsidR="00B914A3" w:rsidRPr="00B914A3" w:rsidTr="00B914A3">
        <w:trPr>
          <w:trHeight w:val="699"/>
        </w:trPr>
        <w:tc>
          <w:tcPr>
            <w:tcW w:w="709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4A3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3953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14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37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</w:rPr>
            </w:pPr>
            <w:r w:rsidRPr="00B914A3">
              <w:rPr>
                <w:rFonts w:ascii="Times New Roman" w:hAnsi="Times New Roman"/>
              </w:rPr>
              <w:t> </w:t>
            </w:r>
          </w:p>
        </w:tc>
        <w:tc>
          <w:tcPr>
            <w:tcW w:w="580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914A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</w:tcPr>
          <w:p w:rsidR="00B914A3" w:rsidRPr="00B914A3" w:rsidRDefault="00B914A3" w:rsidP="00B914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14A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</w:tcPr>
          <w:p w:rsidR="00B914A3" w:rsidRPr="00B914A3" w:rsidRDefault="00B914A3" w:rsidP="00B914A3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914A3">
              <w:rPr>
                <w:rFonts w:ascii="Times New Roman" w:hAnsi="Times New Roman"/>
                <w:b/>
                <w:bCs/>
              </w:rPr>
              <w:t>4 054 200,00</w:t>
            </w:r>
          </w:p>
        </w:tc>
        <w:tc>
          <w:tcPr>
            <w:tcW w:w="1701" w:type="dxa"/>
          </w:tcPr>
          <w:p w:rsidR="00B914A3" w:rsidRPr="00B914A3" w:rsidRDefault="00B914A3" w:rsidP="00B914A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263" w:type="dxa"/>
          </w:tcPr>
          <w:p w:rsidR="00B914A3" w:rsidRPr="00B914A3" w:rsidRDefault="00B914A3" w:rsidP="00B914A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1B7B27" w:rsidRPr="00B914A3" w:rsidRDefault="001B7B27" w:rsidP="001B7B2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C92091" w:rsidRPr="00B914A3" w:rsidRDefault="00C92091" w:rsidP="005D6A0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D058AC" w:rsidRDefault="001B7B27" w:rsidP="00124B9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058AC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1B7B27" w:rsidRPr="00D058AC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18"/>
          <w:szCs w:val="18"/>
        </w:rPr>
      </w:pPr>
    </w:p>
    <w:p w:rsidR="006116C3" w:rsidRPr="000C032E" w:rsidRDefault="004E70D3" w:rsidP="006116C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E2619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</w:t>
      </w:r>
      <w:r w:rsidRPr="000C032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«</w:t>
      </w:r>
      <w:r w:rsidRPr="00E2619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Cracia</w:t>
      </w:r>
      <w:r w:rsidRPr="000C032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Pr="00E2619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Group</w:t>
      </w:r>
      <w:r w:rsidRPr="000C032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»</w:t>
      </w:r>
      <w:r w:rsidRPr="000C032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, </w:t>
      </w:r>
      <w:r w:rsidR="00F340A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РК</w:t>
      </w:r>
      <w:r w:rsidR="00F340AC" w:rsidRPr="000C032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, </w:t>
      </w:r>
      <w:r w:rsidR="00F340A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г</w:t>
      </w:r>
      <w:r w:rsidR="00F340AC" w:rsidRPr="000C032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. </w:t>
      </w:r>
      <w:r w:rsidR="00F340A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Алматы</w:t>
      </w:r>
      <w:r w:rsidR="00F340AC" w:rsidRPr="000C032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, </w:t>
      </w:r>
      <w:r w:rsidR="00F340A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ул</w:t>
      </w:r>
      <w:r w:rsidR="00F340AC" w:rsidRPr="000C032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. </w:t>
      </w:r>
      <w:r w:rsidR="000C032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Казахстанская 22 </w:t>
      </w:r>
      <w:r w:rsidR="00F340A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="006116C3"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от </w:t>
      </w:r>
      <w:r w:rsidR="006116C3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F340AC">
        <w:rPr>
          <w:rFonts w:ascii="Times New Roman" w:hAnsi="Times New Roman"/>
          <w:b/>
          <w:bCs/>
          <w:sz w:val="20"/>
          <w:szCs w:val="20"/>
        </w:rPr>
        <w:t>2</w:t>
      </w:r>
      <w:r w:rsidR="000C032E">
        <w:rPr>
          <w:rFonts w:ascii="Times New Roman" w:hAnsi="Times New Roman"/>
          <w:b/>
          <w:bCs/>
          <w:sz w:val="20"/>
          <w:szCs w:val="20"/>
        </w:rPr>
        <w:t>8</w:t>
      </w:r>
      <w:r w:rsidR="006116C3" w:rsidRPr="0082243B">
        <w:rPr>
          <w:rFonts w:ascii="Times New Roman" w:hAnsi="Times New Roman"/>
          <w:b/>
          <w:bCs/>
          <w:sz w:val="20"/>
          <w:szCs w:val="20"/>
          <w:lang w:val="kk-KZ"/>
        </w:rPr>
        <w:t>.0</w:t>
      </w:r>
      <w:r w:rsidR="006116C3" w:rsidRPr="006116C3">
        <w:rPr>
          <w:rFonts w:ascii="Times New Roman" w:hAnsi="Times New Roman"/>
          <w:b/>
          <w:bCs/>
          <w:sz w:val="20"/>
          <w:szCs w:val="20"/>
        </w:rPr>
        <w:t>4</w:t>
      </w:r>
      <w:r w:rsidR="006116C3" w:rsidRPr="0082243B">
        <w:rPr>
          <w:rFonts w:ascii="Times New Roman" w:hAnsi="Times New Roman"/>
          <w:b/>
          <w:bCs/>
          <w:sz w:val="20"/>
          <w:szCs w:val="20"/>
          <w:lang w:val="kk-KZ"/>
        </w:rPr>
        <w:t>.2022 г., в 1</w:t>
      </w:r>
      <w:r w:rsidR="000C032E">
        <w:rPr>
          <w:rFonts w:ascii="Times New Roman" w:hAnsi="Times New Roman"/>
          <w:b/>
          <w:bCs/>
          <w:sz w:val="20"/>
          <w:szCs w:val="20"/>
          <w:lang w:val="kk-KZ"/>
        </w:rPr>
        <w:t>4</w:t>
      </w:r>
      <w:r w:rsidR="006116C3" w:rsidRPr="0082243B">
        <w:rPr>
          <w:rFonts w:ascii="Times New Roman" w:hAnsi="Times New Roman"/>
          <w:b/>
          <w:bCs/>
          <w:sz w:val="20"/>
          <w:szCs w:val="20"/>
          <w:lang w:val="kk-KZ"/>
        </w:rPr>
        <w:t>ч:</w:t>
      </w:r>
      <w:r w:rsidR="00F10149">
        <w:rPr>
          <w:rFonts w:ascii="Times New Roman" w:hAnsi="Times New Roman"/>
          <w:b/>
          <w:bCs/>
          <w:sz w:val="20"/>
          <w:szCs w:val="20"/>
          <w:lang w:val="kk-KZ"/>
        </w:rPr>
        <w:t>0</w:t>
      </w:r>
      <w:r w:rsidR="000C032E">
        <w:rPr>
          <w:rFonts w:ascii="Times New Roman" w:hAnsi="Times New Roman"/>
          <w:b/>
          <w:bCs/>
          <w:sz w:val="20"/>
          <w:szCs w:val="20"/>
          <w:lang w:val="kk-KZ"/>
        </w:rPr>
        <w:t>0</w:t>
      </w:r>
      <w:r w:rsidR="006116C3" w:rsidRPr="0082243B">
        <w:rPr>
          <w:rFonts w:ascii="Times New Roman" w:hAnsi="Times New Roman"/>
          <w:b/>
          <w:bCs/>
          <w:sz w:val="20"/>
          <w:szCs w:val="20"/>
          <w:lang w:val="kk-KZ"/>
        </w:rPr>
        <w:t>м</w:t>
      </w:r>
    </w:p>
    <w:p w:rsidR="000C032E" w:rsidRPr="0082243B" w:rsidRDefault="000C032E" w:rsidP="006116C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 «Астра Медикал»</w:t>
      </w:r>
      <w:r w:rsidRPr="000C032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РК</w:t>
      </w:r>
      <w:r w:rsidRPr="000C032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г</w:t>
      </w:r>
      <w:r w:rsidRPr="000C032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Алматы</w:t>
      </w:r>
      <w:r w:rsidRPr="000C032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ул</w:t>
      </w:r>
      <w:r w:rsidRPr="000C032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Казахстанская 22  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от 26.04.2022г., в 16ч : 00м.</w:t>
      </w:r>
    </w:p>
    <w:p w:rsidR="00BA3F70" w:rsidRPr="00D058AC" w:rsidRDefault="00BA3F70" w:rsidP="00BA3F70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</w:p>
    <w:p w:rsidR="001B7B27" w:rsidRPr="00D058AC" w:rsidRDefault="001B7B27" w:rsidP="00124B99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18"/>
          <w:szCs w:val="18"/>
        </w:rPr>
      </w:pPr>
      <w:r w:rsidRPr="00D058AC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7B27" w:rsidRPr="00D058AC" w:rsidRDefault="001B7B27" w:rsidP="00EB7E9F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18"/>
          <w:szCs w:val="18"/>
          <w:lang w:val="kk-KZ"/>
        </w:rPr>
      </w:pPr>
    </w:p>
    <w:p w:rsidR="00FD5F7E" w:rsidRPr="0082243B" w:rsidRDefault="004E70D3" w:rsidP="00EB7E9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E2619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</w:t>
      </w:r>
      <w:r w:rsidRPr="000C032E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 «</w:t>
      </w:r>
      <w:r w:rsidRPr="00E2619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Cracia Group</w:t>
      </w:r>
      <w:r w:rsidRPr="000C032E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»</w:t>
      </w:r>
      <w:r w:rsidRPr="000C032E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,</w:t>
      </w:r>
      <w:r w:rsidR="00146398" w:rsidRPr="0014639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РК, г. Алматы, ул. </w:t>
      </w:r>
      <w:r w:rsidR="0014639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Докучаева 12/1    </w:t>
      </w:r>
      <w:r w:rsidR="00FD5F7E" w:rsidRPr="0082243B">
        <w:rPr>
          <w:rFonts w:ascii="Times New Roman" w:hAnsi="Times New Roman"/>
          <w:b/>
          <w:sz w:val="20"/>
          <w:szCs w:val="20"/>
          <w:lang w:val="kk-KZ" w:eastAsia="ru-RU"/>
        </w:rPr>
        <w:t>(лоты №1</w:t>
      </w:r>
      <w:r w:rsidR="00146398">
        <w:rPr>
          <w:rFonts w:ascii="Times New Roman" w:hAnsi="Times New Roman"/>
          <w:b/>
          <w:sz w:val="20"/>
          <w:szCs w:val="20"/>
          <w:lang w:val="kk-KZ" w:eastAsia="ru-RU"/>
        </w:rPr>
        <w:t>,2,3,4</w:t>
      </w:r>
      <w:r>
        <w:rPr>
          <w:rFonts w:ascii="Times New Roman" w:hAnsi="Times New Roman"/>
          <w:b/>
          <w:sz w:val="20"/>
          <w:szCs w:val="20"/>
          <w:lang w:eastAsia="ru-RU"/>
        </w:rPr>
        <w:t>,5,6,7,8,9,10,11,12,13,14,15,16,17,18,19,20,21,22,23</w:t>
      </w:r>
      <w:r w:rsidR="00FD5F7E"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) </w:t>
      </w:r>
      <w:r w:rsidR="00FD5F7E" w:rsidRPr="00FD5F7E">
        <w:rPr>
          <w:rFonts w:ascii="Times New Roman" w:hAnsi="Times New Roman"/>
          <w:b/>
          <w:sz w:val="20"/>
          <w:szCs w:val="20"/>
          <w:lang w:eastAsia="ru-RU"/>
        </w:rPr>
        <w:t xml:space="preserve">      </w:t>
      </w:r>
      <w:r w:rsidR="00FD5F7E"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 сумма договора:  </w:t>
      </w:r>
      <w:r w:rsidRPr="004E70D3">
        <w:rPr>
          <w:rFonts w:ascii="Times New Roman" w:hAnsi="Times New Roman"/>
          <w:b/>
          <w:sz w:val="20"/>
          <w:szCs w:val="20"/>
          <w:lang w:eastAsia="ru-RU"/>
        </w:rPr>
        <w:t>4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 </w:t>
      </w:r>
      <w:r w:rsidRPr="004E70D3">
        <w:rPr>
          <w:rFonts w:ascii="Times New Roman" w:hAnsi="Times New Roman"/>
          <w:b/>
          <w:sz w:val="20"/>
          <w:szCs w:val="20"/>
          <w:lang w:eastAsia="ru-RU"/>
        </w:rPr>
        <w:t>037 300</w:t>
      </w:r>
      <w:r w:rsidR="00FD5F7E"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 ,00 тенге</w:t>
      </w:r>
    </w:p>
    <w:p w:rsidR="006116C3" w:rsidRPr="00EB7E9F" w:rsidRDefault="006116C3" w:rsidP="00EB7E9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3B0000" w:rsidRPr="00124B99" w:rsidRDefault="003B0000" w:rsidP="00124B9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</w:p>
    <w:p w:rsidR="003F2B10" w:rsidRPr="006116C3" w:rsidRDefault="003F2B10" w:rsidP="006116C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</w:p>
    <w:p w:rsidR="001B7B27" w:rsidRPr="00D058AC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D058AC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D058A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D058AC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D058AC" w:rsidRDefault="001B7B27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</w:rPr>
        <w:t>–</w:t>
      </w:r>
      <w:r w:rsidRPr="00D058AC">
        <w:rPr>
          <w:sz w:val="18"/>
          <w:szCs w:val="18"/>
        </w:rPr>
        <w:t xml:space="preserve"> </w:t>
      </w:r>
      <w:r w:rsidRPr="00D058AC">
        <w:rPr>
          <w:rFonts w:ascii="Times New Roman" w:hAnsi="Times New Roman"/>
          <w:sz w:val="18"/>
          <w:szCs w:val="18"/>
        </w:rPr>
        <w:t>отсутствует;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</w:rPr>
      </w:pPr>
      <w:r w:rsidRPr="00D058AC">
        <w:rPr>
          <w:rFonts w:ascii="Times New Roman" w:hAnsi="Times New Roman"/>
          <w:sz w:val="18"/>
          <w:szCs w:val="18"/>
        </w:rPr>
        <w:t xml:space="preserve">    </w:t>
      </w:r>
    </w:p>
    <w:p w:rsidR="001B7B27" w:rsidRPr="00D058AC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D058AC">
        <w:rPr>
          <w:rFonts w:ascii="Times New Roman" w:hAnsi="Times New Roman"/>
          <w:sz w:val="18"/>
          <w:szCs w:val="18"/>
        </w:rPr>
        <w:t>Поставщики, указанные в пункте 4</w:t>
      </w:r>
      <w:r w:rsidRPr="00D058AC">
        <w:rPr>
          <w:rFonts w:ascii="Times New Roman" w:hAnsi="Times New Roman"/>
          <w:b/>
          <w:sz w:val="18"/>
          <w:szCs w:val="18"/>
          <w:lang w:eastAsia="ru-RU"/>
        </w:rPr>
        <w:t xml:space="preserve">, </w:t>
      </w:r>
      <w:r w:rsidRPr="00D058AC">
        <w:rPr>
          <w:rFonts w:ascii="Times New Roman" w:hAnsi="Times New Roman"/>
          <w:sz w:val="18"/>
          <w:szCs w:val="18"/>
        </w:rPr>
        <w:t xml:space="preserve">в срок  до </w:t>
      </w:r>
      <w:r w:rsidR="003531AD" w:rsidRPr="00D058AC">
        <w:rPr>
          <w:rFonts w:ascii="Times New Roman" w:hAnsi="Times New Roman"/>
          <w:sz w:val="18"/>
          <w:szCs w:val="18"/>
          <w:lang w:val="kk-KZ"/>
        </w:rPr>
        <w:t>«</w:t>
      </w:r>
      <w:r w:rsidR="000C032E">
        <w:rPr>
          <w:rFonts w:ascii="Times New Roman" w:hAnsi="Times New Roman"/>
          <w:sz w:val="18"/>
          <w:szCs w:val="18"/>
        </w:rPr>
        <w:t>11</w:t>
      </w:r>
      <w:bookmarkStart w:id="0" w:name="_GoBack"/>
      <w:bookmarkEnd w:id="0"/>
      <w:r w:rsidR="00124B99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D058AC">
        <w:rPr>
          <w:rFonts w:ascii="Times New Roman" w:hAnsi="Times New Roman"/>
          <w:sz w:val="18"/>
          <w:szCs w:val="18"/>
        </w:rPr>
        <w:t>»</w:t>
      </w:r>
      <w:r w:rsidR="0093328B">
        <w:rPr>
          <w:rFonts w:ascii="Times New Roman" w:hAnsi="Times New Roman"/>
          <w:sz w:val="18"/>
          <w:szCs w:val="18"/>
        </w:rPr>
        <w:t xml:space="preserve"> </w:t>
      </w:r>
      <w:r w:rsidR="00146398">
        <w:rPr>
          <w:rFonts w:ascii="Times New Roman" w:hAnsi="Times New Roman"/>
          <w:sz w:val="18"/>
          <w:szCs w:val="18"/>
        </w:rPr>
        <w:t xml:space="preserve"> мая </w:t>
      </w:r>
      <w:r w:rsidR="0093328B">
        <w:rPr>
          <w:rFonts w:ascii="Times New Roman" w:hAnsi="Times New Roman"/>
          <w:sz w:val="18"/>
          <w:szCs w:val="18"/>
        </w:rPr>
        <w:t xml:space="preserve"> </w:t>
      </w:r>
      <w:r w:rsidR="00124B99">
        <w:rPr>
          <w:rFonts w:ascii="Times New Roman" w:hAnsi="Times New Roman"/>
          <w:sz w:val="18"/>
          <w:szCs w:val="18"/>
        </w:rPr>
        <w:t xml:space="preserve"> </w:t>
      </w:r>
      <w:r w:rsidRPr="00D058AC">
        <w:rPr>
          <w:rFonts w:ascii="Times New Roman" w:hAnsi="Times New Roman"/>
          <w:sz w:val="18"/>
          <w:szCs w:val="18"/>
        </w:rPr>
        <w:t xml:space="preserve">  20</w:t>
      </w:r>
      <w:r w:rsidRPr="00D058AC">
        <w:rPr>
          <w:rFonts w:ascii="Times New Roman" w:hAnsi="Times New Roman"/>
          <w:sz w:val="18"/>
          <w:szCs w:val="18"/>
          <w:lang w:val="kk-KZ"/>
        </w:rPr>
        <w:t>22</w:t>
      </w:r>
      <w:r w:rsidRPr="00D058AC">
        <w:rPr>
          <w:rFonts w:ascii="Times New Roman" w:hAnsi="Times New Roman"/>
          <w:sz w:val="18"/>
          <w:szCs w:val="18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D058AC">
        <w:rPr>
          <w:rFonts w:ascii="Times New Roman" w:hAnsi="Times New Roman"/>
          <w:bCs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D058AC">
        <w:rPr>
          <w:rFonts w:ascii="Times New Roman" w:hAnsi="Times New Roman"/>
          <w:sz w:val="18"/>
          <w:szCs w:val="18"/>
        </w:rPr>
        <w:t>».</w:t>
      </w:r>
    </w:p>
    <w:p w:rsidR="001B7B27" w:rsidRPr="00D058AC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18"/>
          <w:szCs w:val="18"/>
        </w:rPr>
      </w:pP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D058AC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D058AC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D058AC">
        <w:rPr>
          <w:rFonts w:ascii="Times New Roman" w:hAnsi="Times New Roman"/>
          <w:sz w:val="18"/>
          <w:szCs w:val="18"/>
        </w:rPr>
        <w:t xml:space="preserve"> – </w:t>
      </w:r>
      <w:r w:rsidRPr="00D058AC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D058AC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</w:p>
    <w:p w:rsidR="00AE37A8" w:rsidRPr="00E12364" w:rsidRDefault="00AE37A8" w:rsidP="00E12364"/>
    <w:sectPr w:rsidR="00AE37A8" w:rsidRPr="00E1236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5D3" w:rsidRDefault="007515D3" w:rsidP="00233E55">
      <w:pPr>
        <w:spacing w:after="0" w:line="240" w:lineRule="auto"/>
      </w:pPr>
      <w:r>
        <w:separator/>
      </w:r>
    </w:p>
  </w:endnote>
  <w:endnote w:type="continuationSeparator" w:id="0">
    <w:p w:rsidR="007515D3" w:rsidRDefault="007515D3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5D3" w:rsidRDefault="007515D3" w:rsidP="00233E55">
      <w:pPr>
        <w:spacing w:after="0" w:line="240" w:lineRule="auto"/>
      </w:pPr>
      <w:r>
        <w:separator/>
      </w:r>
    </w:p>
  </w:footnote>
  <w:footnote w:type="continuationSeparator" w:id="0">
    <w:p w:rsidR="007515D3" w:rsidRDefault="007515D3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15"/>
  </w:num>
  <w:num w:numId="7">
    <w:abstractNumId w:val="12"/>
  </w:num>
  <w:num w:numId="8">
    <w:abstractNumId w:val="0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16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032E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7DC5"/>
    <w:rsid w:val="0015097C"/>
    <w:rsid w:val="00150DEE"/>
    <w:rsid w:val="00152173"/>
    <w:rsid w:val="00153F44"/>
    <w:rsid w:val="00154E15"/>
    <w:rsid w:val="00156906"/>
    <w:rsid w:val="00160440"/>
    <w:rsid w:val="00163C8A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167D7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22CB"/>
    <w:rsid w:val="00B02AB9"/>
    <w:rsid w:val="00B03BFF"/>
    <w:rsid w:val="00B03D90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14A3"/>
    <w:rsid w:val="00B93753"/>
    <w:rsid w:val="00B96B13"/>
    <w:rsid w:val="00B97C9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73E8"/>
    <w:rsid w:val="00F37624"/>
    <w:rsid w:val="00F41836"/>
    <w:rsid w:val="00F419AA"/>
    <w:rsid w:val="00F41CC8"/>
    <w:rsid w:val="00F42355"/>
    <w:rsid w:val="00F424E4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888F2-1276-4B5E-85B2-72FF3385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13</Pages>
  <Words>3680</Words>
  <Characters>20978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346</cp:revision>
  <cp:lastPrinted>2022-04-25T10:22:00Z</cp:lastPrinted>
  <dcterms:created xsi:type="dcterms:W3CDTF">2021-07-27T04:19:00Z</dcterms:created>
  <dcterms:modified xsi:type="dcterms:W3CDTF">2022-05-18T08:57:00Z</dcterms:modified>
</cp:coreProperties>
</file>