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</w:rPr>
        <w:t xml:space="preserve">Протокол №</w:t>
      </w:r>
      <w:r>
        <w:rPr>
          <w:rFonts w:ascii="Times New Roman" w:hAnsi="Times New Roman"/>
          <w:b/>
          <w:sz w:val="16"/>
          <w:szCs w:val="16"/>
        </w:rPr>
        <w:t xml:space="preserve">167</w:t>
      </w:r>
      <w:bookmarkStart w:id="0" w:name="_GoBack"/>
      <w:r/>
      <w:bookmarkEnd w:id="0"/>
      <w:r/>
      <w:r>
        <w:rPr>
          <w:rFonts w:ascii="Times New Roman" w:hAnsi="Times New Roman"/>
          <w:b/>
          <w:sz w:val="16"/>
          <w:szCs w:val="16"/>
          <w:lang w:val="kk-KZ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>
        <w:rPr>
          <w:rFonts w:ascii="Times New Roman" w:hAnsi="Times New Roman"/>
          <w:b/>
          <w:sz w:val="16"/>
          <w:szCs w:val="16"/>
        </w:rPr>
        <w:t xml:space="preserve">3</w:t>
      </w:r>
      <w:r>
        <w:rPr>
          <w:rFonts w:ascii="Times New Roman" w:hAnsi="Times New Roman"/>
          <w:b/>
          <w:sz w:val="16"/>
          <w:szCs w:val="16"/>
        </w:rPr>
        <w:t xml:space="preserve"> год   </w:t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</w:t>
      </w:r>
      <w:r>
        <w:rPr>
          <w:rFonts w:ascii="Times New Roman" w:hAnsi="Times New Roman"/>
          <w:b/>
          <w:sz w:val="16"/>
          <w:szCs w:val="16"/>
        </w:rPr>
        <w:t xml:space="preserve">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«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11</w:t>
      </w:r>
      <w:r>
        <w:rPr>
          <w:rFonts w:ascii="Times New Roman" w:hAnsi="Times New Roman"/>
          <w:b/>
          <w:sz w:val="16"/>
          <w:szCs w:val="16"/>
        </w:rPr>
        <w:t xml:space="preserve">»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дека</w:t>
      </w:r>
      <w:r>
        <w:rPr>
          <w:rFonts w:ascii="Times New Roman" w:hAnsi="Times New Roman"/>
          <w:b/>
          <w:sz w:val="16"/>
          <w:szCs w:val="16"/>
        </w:rPr>
        <w:t xml:space="preserve">бря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 xml:space="preserve"> 202</w:t>
      </w:r>
      <w:r>
        <w:rPr>
          <w:rFonts w:ascii="Times New Roman" w:hAnsi="Times New Roman"/>
          <w:b/>
          <w:sz w:val="16"/>
          <w:szCs w:val="16"/>
        </w:rPr>
        <w:t xml:space="preserve">3</w:t>
      </w:r>
      <w:r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</w:r>
    </w:p>
    <w:p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644"/>
        <w:jc w:val="both"/>
        <w:tabs>
          <w:tab w:val="left" w:pos="14742" w:leader="none"/>
        </w:tabs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tbl>
      <w:tblPr>
        <w:tblStyle w:val="738"/>
        <w:tblpPr w:horzAnchor="margin" w:tblpXSpec="center" w:vertAnchor="text" w:tblpY="7" w:leftFromText="180" w:topFromText="0" w:rightFromText="180" w:bottomFromText="0"/>
        <w:tblW w:w="12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1145"/>
        <w:gridCol w:w="1134"/>
        <w:gridCol w:w="1418"/>
        <w:gridCol w:w="1701"/>
        <w:gridCol w:w="1701"/>
      </w:tblGrid>
      <w:tr>
        <w:tblPrEx/>
        <w:trPr>
          <w:trHeight w:val="558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№ лота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82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Наименование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Ед. изм.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</w:rPr>
              <w:t xml:space="preserve">Победитель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13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r>
          </w:p>
        </w:tc>
        <w:tc>
          <w:tcPr>
            <w:tcW w:w="482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Преднизолон Раствор для внутривенного и внутримышечного введения, 30 мг/мл, 1 мл, № 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ампула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3600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70,7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254 520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413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254 250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8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Дата и время представления ценового предложения: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8"/>
        <w:numPr>
          <w:ilvl w:val="0"/>
          <w:numId w:val="11"/>
        </w:numPr>
        <w:jc w:val="both"/>
        <w:spacing w:after="0" w:line="240" w:lineRule="auto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 xml:space="preserve">Ценовых предложений не было.</w:t>
      </w:r>
      <w:r>
        <w:rPr>
          <w:rFonts w:ascii="Times New Roman" w:hAnsi="Times New Roman"/>
          <w:bCs/>
          <w:sz w:val="16"/>
          <w:szCs w:val="16"/>
          <w:lang w:val="kk-KZ"/>
        </w:rPr>
      </w:r>
    </w:p>
    <w:p>
      <w:pPr>
        <w:pStyle w:val="708"/>
        <w:jc w:val="both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  <w:r>
        <w:rPr>
          <w:rFonts w:ascii="Times New Roman" w:hAnsi="Times New Roman"/>
          <w:b/>
          <w:bCs/>
          <w:sz w:val="16"/>
          <w:szCs w:val="16"/>
        </w:rPr>
      </w:r>
    </w:p>
    <w:p>
      <w:pPr>
        <w:pStyle w:val="708"/>
        <w:jc w:val="both"/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отсутствует;</w:t>
      </w:r>
      <w:r>
        <w:rPr>
          <w:rFonts w:ascii="Times New Roman" w:hAnsi="Times New Roman"/>
          <w:sz w:val="16"/>
          <w:szCs w:val="16"/>
        </w:rPr>
      </w:r>
    </w:p>
    <w:p>
      <w:pPr>
        <w:pStyle w:val="708"/>
        <w:numPr>
          <w:ilvl w:val="0"/>
          <w:numId w:val="15"/>
        </w:numPr>
        <w:jc w:val="both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наименование потенциальных поставщиков, присутствовавших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при процедуре вскрытия конвертов с ценовыми предложениями удаленно видеоконференц-связью через приложение Zoom: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8"/>
        <w:jc w:val="both"/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отсутствует;</w:t>
      </w:r>
      <w:r>
        <w:rPr>
          <w:rFonts w:ascii="Times New Roman" w:hAnsi="Times New Roman"/>
          <w:sz w:val="16"/>
          <w:szCs w:val="16"/>
        </w:rPr>
      </w:r>
    </w:p>
    <w:p>
      <w:pPr>
        <w:pStyle w:val="708"/>
        <w:numPr>
          <w:ilvl w:val="0"/>
          <w:numId w:val="15"/>
        </w:numPr>
        <w:jc w:val="both"/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Признать лоты  № 1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несостоявшимся</w:t>
      </w:r>
      <w:r>
        <w:rPr>
          <w:rFonts w:ascii="Times New Roman" w:hAnsi="Times New Roman"/>
          <w:sz w:val="16"/>
          <w:szCs w:val="16"/>
        </w:rPr>
      </w:r>
    </w:p>
    <w:p>
      <w:pPr>
        <w:pStyle w:val="708"/>
        <w:jc w:val="both"/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  <w:lang w:val="kk-KZ"/>
        </w:rPr>
      </w:r>
      <w:r>
        <w:rPr>
          <w:rFonts w:ascii="Times New Roman" w:hAnsi="Times New Roman"/>
          <w:b/>
          <w:sz w:val="16"/>
          <w:szCs w:val="16"/>
          <w:lang w:val="kk-KZ"/>
        </w:rPr>
      </w:r>
    </w:p>
    <w:p>
      <w:pPr>
        <w:pStyle w:val="708"/>
        <w:jc w:val="both"/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  <w:lang w:val="kk-KZ"/>
        </w:rPr>
      </w:r>
      <w:r>
        <w:rPr>
          <w:rFonts w:ascii="Times New Roman" w:hAnsi="Times New Roman"/>
          <w:b/>
          <w:sz w:val="16"/>
          <w:szCs w:val="16"/>
          <w:lang w:val="kk-KZ"/>
        </w:rPr>
      </w:r>
    </w:p>
    <w:p>
      <w:pPr>
        <w:pStyle w:val="708"/>
        <w:jc w:val="both"/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>
        <w:rPr>
          <w:rFonts w:ascii="Times New Roman" w:hAnsi="Times New Roman"/>
          <w:b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>
        <w:rPr>
          <w:rFonts w:ascii="Times New Roman" w:hAnsi="Times New Roman"/>
          <w:sz w:val="16"/>
          <w:szCs w:val="16"/>
        </w:rPr>
        <w:t xml:space="preserve">Сураужанов Д.А.</w:t>
      </w:r>
      <w:r>
        <w:rPr>
          <w:rFonts w:ascii="Times New Roman" w:hAnsi="Times New Roman"/>
          <w:sz w:val="16"/>
          <w:szCs w:val="16"/>
        </w:rPr>
      </w:r>
    </w:p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  <w:r>
        <w:rPr>
          <w:rFonts w:ascii="Times New Roman" w:hAnsi="Times New Roman"/>
          <w:sz w:val="16"/>
          <w:szCs w:val="16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>
        <w:rPr>
          <w:rFonts w:ascii="Times New Roman" w:hAnsi="Times New Roman"/>
          <w:sz w:val="16"/>
          <w:szCs w:val="16"/>
        </w:rPr>
        <w:t xml:space="preserve"> – </w:t>
      </w:r>
      <w:r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</w:t>
      </w:r>
      <w:r>
        <w:rPr>
          <w:rFonts w:ascii="Times New Roman" w:hAnsi="Times New Roman"/>
          <w:sz w:val="16"/>
          <w:szCs w:val="16"/>
          <w:lang w:val="kk-KZ"/>
        </w:rPr>
        <w:t xml:space="preserve">секретарь  -                                               Айдабулова А</w:t>
      </w:r>
      <w:r>
        <w:rPr>
          <w:rFonts w:ascii="Times New Roman" w:hAnsi="Times New Roman"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238" w:right="1103" w:bottom="425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650"/>
      <w:numFmt w:val="bullet"/>
      <w:isLgl w:val="false"/>
      <w:suff w:val="tab"/>
      <w:lvlText w:val="-"/>
      <w:lvlJc w:val="left"/>
      <w:pPr>
        <w:ind w:left="1004" w:hanging="360"/>
      </w:pPr>
      <w:rPr>
        <w:rFonts w:hint="default" w:ascii="Times New Roman" w:hAnsi="Times New Roman" w:eastAsia="Times New Roman" w:cs="Times New Roman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5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2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5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44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5"/>
      <w:numFmt w:val="bullet"/>
      <w:isLgl w:val="false"/>
      <w:suff w:val="tab"/>
      <w:lvlText w:val="–"/>
      <w:lvlJc w:val="left"/>
      <w:pPr>
        <w:ind w:left="1035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5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1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7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95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325"/>
      <w:numFmt w:val="bullet"/>
      <w:isLgl w:val="false"/>
      <w:suff w:val="tab"/>
      <w:lvlText w:val="-"/>
      <w:lvlJc w:val="left"/>
      <w:pPr>
        <w:ind w:left="1409" w:hanging="360"/>
      </w:pPr>
      <w:rPr>
        <w:rFonts w:hint="default" w:ascii="Times New Roman" w:hAnsi="Times New Roman" w:eastAsia="Calibri" w:cs="Times New Roman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6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84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Calibri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035" w:hanging="360"/>
      </w:pPr>
      <w:rPr>
        <w:rFonts w:hint="default" w:ascii="Times New Roman" w:hAnsi="Times New Roman" w:eastAsia="Calibri" w:cs="Times New Roman"/>
        <w:color w:val="auto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75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1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7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95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65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0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25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77"/>
      <w:numFmt w:val="bullet"/>
      <w:isLgl w:val="false"/>
      <w:suff w:val="tab"/>
      <w:lvlText w:val="-"/>
      <w:lvlJc w:val="left"/>
      <w:pPr>
        <w:ind w:left="1080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4"/>
    <w:link w:val="70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2"/>
    <w:next w:val="70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2"/>
    <w:next w:val="70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2"/>
    <w:next w:val="70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2"/>
    <w:next w:val="70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2"/>
    <w:next w:val="70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2"/>
    <w:next w:val="70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2"/>
    <w:next w:val="70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2"/>
    <w:next w:val="70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02"/>
    <w:next w:val="70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4"/>
    <w:link w:val="34"/>
    <w:uiPriority w:val="10"/>
    <w:rPr>
      <w:sz w:val="48"/>
      <w:szCs w:val="48"/>
    </w:rPr>
  </w:style>
  <w:style w:type="paragraph" w:styleId="36">
    <w:name w:val="Subtitle"/>
    <w:basedOn w:val="702"/>
    <w:next w:val="70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4"/>
    <w:link w:val="36"/>
    <w:uiPriority w:val="11"/>
    <w:rPr>
      <w:sz w:val="24"/>
      <w:szCs w:val="24"/>
    </w:rPr>
  </w:style>
  <w:style w:type="paragraph" w:styleId="38">
    <w:name w:val="Quote"/>
    <w:basedOn w:val="702"/>
    <w:next w:val="70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2"/>
    <w:next w:val="70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4"/>
    <w:link w:val="712"/>
    <w:uiPriority w:val="99"/>
  </w:style>
  <w:style w:type="character" w:styleId="45">
    <w:name w:val="Footer Char"/>
    <w:basedOn w:val="704"/>
    <w:link w:val="714"/>
    <w:uiPriority w:val="99"/>
  </w:style>
  <w:style w:type="paragraph" w:styleId="46">
    <w:name w:val="Caption"/>
    <w:basedOn w:val="702"/>
    <w:next w:val="7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4"/>
    <w:uiPriority w:val="99"/>
  </w:style>
  <w:style w:type="table" w:styleId="49">
    <w:name w:val="Table Grid Light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4"/>
    <w:uiPriority w:val="99"/>
    <w:unhideWhenUsed/>
    <w:rPr>
      <w:vertAlign w:val="superscript"/>
    </w:rPr>
  </w:style>
  <w:style w:type="paragraph" w:styleId="178">
    <w:name w:val="endnote text"/>
    <w:basedOn w:val="70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4"/>
    <w:uiPriority w:val="99"/>
    <w:semiHidden/>
    <w:unhideWhenUsed/>
    <w:rPr>
      <w:vertAlign w:val="superscript"/>
    </w:rPr>
  </w:style>
  <w:style w:type="paragraph" w:styleId="181">
    <w:name w:val="toc 1"/>
    <w:basedOn w:val="702"/>
    <w:next w:val="70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2"/>
    <w:next w:val="70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2"/>
    <w:next w:val="70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2"/>
    <w:next w:val="70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2"/>
    <w:next w:val="70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2"/>
    <w:next w:val="70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2"/>
    <w:next w:val="70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2"/>
    <w:next w:val="70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2"/>
    <w:next w:val="70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2"/>
    <w:next w:val="702"/>
    <w:uiPriority w:val="99"/>
    <w:unhideWhenUsed/>
    <w:pPr>
      <w:spacing w:after="0" w:afterAutospacing="0"/>
    </w:pPr>
  </w:style>
  <w:style w:type="paragraph" w:styleId="70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03">
    <w:name w:val="Heading 1"/>
    <w:basedOn w:val="702"/>
    <w:link w:val="72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paragraph" w:styleId="707">
    <w:name w:val="No Spacing"/>
    <w:link w:val="739"/>
    <w:uiPriority w:val="99"/>
    <w:qFormat/>
    <w:rPr>
      <w:sz w:val="22"/>
      <w:szCs w:val="22"/>
      <w:lang w:eastAsia="en-US"/>
    </w:rPr>
  </w:style>
  <w:style w:type="paragraph" w:styleId="708">
    <w:name w:val="List Paragraph"/>
    <w:basedOn w:val="702"/>
    <w:uiPriority w:val="34"/>
    <w:qFormat/>
    <w:pPr>
      <w:contextualSpacing/>
      <w:ind w:left="720"/>
    </w:pPr>
  </w:style>
  <w:style w:type="table" w:styleId="709">
    <w:name w:val="Table Grid"/>
    <w:basedOn w:val="705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10">
    <w:name w:val="Balloon Text"/>
    <w:basedOn w:val="702"/>
    <w:link w:val="71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1" w:customStyle="1">
    <w:name w:val="Текст выноски Знак"/>
    <w:basedOn w:val="704"/>
    <w:link w:val="710"/>
    <w:uiPriority w:val="99"/>
    <w:semiHidden/>
    <w:rPr>
      <w:rFonts w:ascii="Tahoma" w:hAnsi="Tahoma" w:cs="Tahoma"/>
      <w:sz w:val="16"/>
      <w:szCs w:val="16"/>
    </w:rPr>
  </w:style>
  <w:style w:type="paragraph" w:styleId="712">
    <w:name w:val="Header"/>
    <w:basedOn w:val="702"/>
    <w:link w:val="7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3" w:customStyle="1">
    <w:name w:val="Верхний колонтитул Знак"/>
    <w:basedOn w:val="704"/>
    <w:link w:val="712"/>
    <w:uiPriority w:val="99"/>
  </w:style>
  <w:style w:type="paragraph" w:styleId="714">
    <w:name w:val="Footer"/>
    <w:basedOn w:val="702"/>
    <w:link w:val="7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5" w:customStyle="1">
    <w:name w:val="Нижний колонтитул Знак"/>
    <w:basedOn w:val="704"/>
    <w:link w:val="714"/>
    <w:uiPriority w:val="99"/>
  </w:style>
  <w:style w:type="paragraph" w:styleId="716" w:customStyle="1">
    <w:name w:val="Default"/>
    <w:rPr>
      <w:rFonts w:ascii="Times New Roman" w:hAnsi="Times New Roman"/>
      <w:color w:val="000000"/>
      <w:sz w:val="24"/>
      <w:szCs w:val="24"/>
    </w:rPr>
  </w:style>
  <w:style w:type="character" w:styleId="717" w:customStyle="1">
    <w:name w:val="s0"/>
    <w:rPr>
      <w:rFonts w:hint="default" w:ascii="Times New Roman" w:hAnsi="Times New Roman" w:cs="Times New Roman"/>
      <w:b w:val="0"/>
      <w:bCs w:val="0"/>
      <w:i w:val="0"/>
      <w:iCs w:val="0"/>
      <w:color w:val="000000"/>
    </w:rPr>
  </w:style>
  <w:style w:type="paragraph" w:styleId="718" w:customStyle="1">
    <w:name w:val="Без интервала3"/>
    <w:uiPriority w:val="1"/>
    <w:qFormat/>
    <w:rPr>
      <w:sz w:val="22"/>
      <w:szCs w:val="22"/>
      <w:lang w:eastAsia="en-US"/>
    </w:rPr>
  </w:style>
  <w:style w:type="numbering" w:styleId="719" w:customStyle="1">
    <w:name w:val="Нет списка1"/>
    <w:next w:val="706"/>
    <w:uiPriority w:val="99"/>
    <w:semiHidden/>
    <w:unhideWhenUsed/>
  </w:style>
  <w:style w:type="character" w:styleId="720" w:customStyle="1">
    <w:name w:val="Заголовок 1 Знак"/>
    <w:basedOn w:val="704"/>
    <w:link w:val="703"/>
    <w:uiPriority w:val="9"/>
    <w:rPr>
      <w:rFonts w:ascii="Times New Roman" w:hAnsi="Times New Roman" w:eastAsia="Times New Roman"/>
      <w:b/>
      <w:bCs/>
      <w:sz w:val="48"/>
      <w:szCs w:val="48"/>
    </w:rPr>
  </w:style>
  <w:style w:type="character" w:styleId="721">
    <w:name w:val="Hyperlink"/>
    <w:basedOn w:val="704"/>
    <w:uiPriority w:val="99"/>
    <w:semiHidden/>
    <w:unhideWhenUsed/>
    <w:rPr>
      <w:color w:val="0000ff"/>
      <w:u w:val="single"/>
    </w:rPr>
  </w:style>
  <w:style w:type="character" w:styleId="722">
    <w:name w:val="FollowedHyperlink"/>
    <w:basedOn w:val="704"/>
    <w:uiPriority w:val="99"/>
    <w:semiHidden/>
    <w:unhideWhenUsed/>
    <w:rPr>
      <w:color w:val="800080"/>
      <w:u w:val="single"/>
    </w:rPr>
  </w:style>
  <w:style w:type="paragraph" w:styleId="723" w:customStyle="1">
    <w:name w:val="xl69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4" w:customStyle="1">
    <w:name w:val="xl70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5" w:customStyle="1">
    <w:name w:val="xl71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6" w:customStyle="1">
    <w:name w:val="xl72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7" w:customStyle="1">
    <w:name w:val="xl73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8" w:customStyle="1">
    <w:name w:val="xl74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9" w:customStyle="1">
    <w:name w:val="xl75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0" w:customStyle="1">
    <w:name w:val="xl76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1" w:customStyle="1">
    <w:name w:val="xl77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2" w:customStyle="1">
    <w:name w:val="xl78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sz w:val="18"/>
      <w:szCs w:val="18"/>
      <w:lang w:eastAsia="ru-RU"/>
    </w:rPr>
  </w:style>
  <w:style w:type="paragraph" w:styleId="733" w:customStyle="1">
    <w:name w:val="xl79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4" w:customStyle="1">
    <w:name w:val="xl80"/>
    <w:basedOn w:val="702"/>
    <w:pPr>
      <w:jc w:val="center"/>
      <w:spacing w:before="100" w:beforeAutospacing="1" w:after="100" w:afterAutospacing="1" w:line="240" w:lineRule="auto"/>
      <w:shd w:val="clear" w:color="000000" w:fill="92d05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5" w:customStyle="1">
    <w:name w:val="xl81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ff0000"/>
      <w:sz w:val="18"/>
      <w:szCs w:val="18"/>
      <w:lang w:eastAsia="ru-RU"/>
    </w:rPr>
  </w:style>
  <w:style w:type="paragraph" w:styleId="736" w:customStyle="1">
    <w:name w:val="xl82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color w:val="000000"/>
      <w:sz w:val="18"/>
      <w:szCs w:val="18"/>
      <w:lang w:eastAsia="ru-RU"/>
    </w:rPr>
  </w:style>
  <w:style w:type="paragraph" w:styleId="737" w:customStyle="1">
    <w:name w:val="xl83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sz w:val="24"/>
      <w:szCs w:val="24"/>
      <w:lang w:eastAsia="ru-RU"/>
    </w:rPr>
  </w:style>
  <w:style w:type="table" w:styleId="738" w:customStyle="1">
    <w:name w:val="Сетка таблицы светлая1"/>
    <w:basedOn w:val="705"/>
    <w:uiPriority w:val="40"/>
    <w:tblPr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39" w:customStyle="1">
    <w:name w:val="Без интервала Знак"/>
    <w:link w:val="707"/>
    <w:uiPriority w:val="99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0FB39-8BB6-4B04-B025-B21069AC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Аноним</cp:lastModifiedBy>
  <cp:revision>134</cp:revision>
  <dcterms:created xsi:type="dcterms:W3CDTF">2023-07-18T08:43:00Z</dcterms:created>
  <dcterms:modified xsi:type="dcterms:W3CDTF">2025-05-02T04:40:02Z</dcterms:modified>
</cp:coreProperties>
</file>