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111683">
        <w:rPr>
          <w:rFonts w:ascii="Times New Roman" w:eastAsia="Times New Roman" w:hAnsi="Times New Roman" w:cs="Times New Roman"/>
          <w:b/>
          <w:bCs/>
          <w:sz w:val="20"/>
          <w:szCs w:val="20"/>
        </w:rPr>
        <w:t>41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1683">
        <w:rPr>
          <w:rFonts w:ascii="Times New Roman" w:eastAsia="Times New Roman" w:hAnsi="Times New Roman" w:cs="Times New Roman"/>
          <w:b/>
          <w:bCs/>
          <w:sz w:val="20"/>
          <w:szCs w:val="20"/>
        </w:rPr>
        <w:t>26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E039E">
        <w:rPr>
          <w:rFonts w:ascii="Times New Roman" w:eastAsia="Times New Roman" w:hAnsi="Times New Roman" w:cs="Times New Roman"/>
          <w:sz w:val="20"/>
          <w:szCs w:val="20"/>
        </w:rPr>
        <w:t>0</w:t>
      </w:r>
      <w:r w:rsidR="00155C85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8674" w:type="dxa"/>
        <w:tblInd w:w="768" w:type="dxa"/>
        <w:tblLook w:val="04A0" w:firstRow="1" w:lastRow="0" w:firstColumn="1" w:lastColumn="0" w:noHBand="0" w:noVBand="1"/>
      </w:tblPr>
      <w:tblGrid>
        <w:gridCol w:w="447"/>
        <w:gridCol w:w="2780"/>
        <w:gridCol w:w="609"/>
        <w:gridCol w:w="743"/>
        <w:gridCol w:w="992"/>
        <w:gridCol w:w="1134"/>
        <w:gridCol w:w="1969"/>
      </w:tblGrid>
      <w:tr w:rsidR="00155C85" w:rsidRPr="00494045" w:rsidTr="000717E6">
        <w:trPr>
          <w:trHeight w:val="300"/>
        </w:trPr>
        <w:tc>
          <w:tcPr>
            <w:tcW w:w="447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155C85" w:rsidRPr="00494045" w:rsidRDefault="00155C8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155C85" w:rsidRPr="00494045" w:rsidRDefault="00155C8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155C85" w:rsidRPr="00494045" w:rsidTr="000717E6">
        <w:trPr>
          <w:trHeight w:val="300"/>
        </w:trPr>
        <w:tc>
          <w:tcPr>
            <w:tcW w:w="447" w:type="dxa"/>
            <w:noWrap/>
          </w:tcPr>
          <w:p w:rsidR="00155C85" w:rsidRPr="00494045" w:rsidRDefault="00155C85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</w:tcPr>
          <w:p w:rsidR="00155C85" w:rsidRPr="00155C85" w:rsidRDefault="00155C85" w:rsidP="00494045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Амлодипин(Короним)10мг №20</w:t>
            </w:r>
          </w:p>
        </w:tc>
        <w:tc>
          <w:tcPr>
            <w:tcW w:w="609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уп</w:t>
            </w:r>
            <w:proofErr w:type="spellEnd"/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20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1998,2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155C85" w:rsidRPr="00155C85" w:rsidRDefault="00155C85" w:rsidP="00494045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 xml:space="preserve">39 964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C85" w:rsidRPr="00155C85" w:rsidRDefault="00155C85" w:rsidP="00494045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155C85" w:rsidRPr="00494045" w:rsidTr="000717E6">
        <w:trPr>
          <w:trHeight w:val="300"/>
        </w:trPr>
        <w:tc>
          <w:tcPr>
            <w:tcW w:w="447" w:type="dxa"/>
            <w:noWrap/>
          </w:tcPr>
          <w:p w:rsidR="00155C85" w:rsidRPr="00494045" w:rsidRDefault="00155C85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</w:tcPr>
          <w:p w:rsidR="00155C85" w:rsidRPr="00155C85" w:rsidRDefault="00155C85" w:rsidP="00494045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Амри-К  фитоменадион Раствор для внутримышечного введения, 10 мг/мл, 1 мл №5</w:t>
            </w:r>
          </w:p>
        </w:tc>
        <w:tc>
          <w:tcPr>
            <w:tcW w:w="609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амп</w:t>
            </w:r>
            <w:proofErr w:type="spellEnd"/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1000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132,74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155C85" w:rsidRPr="00155C85" w:rsidRDefault="00155C85" w:rsidP="00494045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>132 740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C85" w:rsidRPr="00155C85" w:rsidRDefault="00155C85" w:rsidP="00494045"/>
        </w:tc>
      </w:tr>
      <w:tr w:rsidR="00155C85" w:rsidRPr="00494045" w:rsidTr="000717E6">
        <w:trPr>
          <w:trHeight w:val="300"/>
        </w:trPr>
        <w:tc>
          <w:tcPr>
            <w:tcW w:w="447" w:type="dxa"/>
            <w:noWrap/>
          </w:tcPr>
          <w:p w:rsidR="00155C85" w:rsidRPr="00494045" w:rsidRDefault="00155C85" w:rsidP="00155C8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2780" w:type="dxa"/>
            <w:noWrap/>
          </w:tcPr>
          <w:p w:rsidR="00155C85" w:rsidRPr="00155C85" w:rsidRDefault="00155C85" w:rsidP="00155C85">
            <w:pPr>
              <w:shd w:val="clear" w:color="auto" w:fill="F8F8F8"/>
              <w:spacing w:before="150" w:after="150"/>
              <w:rPr>
                <w:rFonts w:ascii="Tahoma" w:eastAsia="Times New Roman" w:hAnsi="Tahoma" w:cs="Tahoma"/>
                <w:color w:val="333333"/>
              </w:rPr>
            </w:pPr>
            <w:r w:rsidRPr="00155C85">
              <w:rPr>
                <w:rFonts w:ascii="Tahoma" w:hAnsi="Tahoma" w:cs="Tahoma"/>
                <w:color w:val="333333"/>
                <w:shd w:val="clear" w:color="auto" w:fill="F8F8F8"/>
                <w:lang w:val="kk-KZ"/>
              </w:rPr>
              <w:t>Резонатив Т</w:t>
            </w:r>
            <w:bookmarkStart w:id="0" w:name="_GoBack"/>
            <w:bookmarkEnd w:id="0"/>
            <w:r w:rsidRPr="00155C85">
              <w:rPr>
                <w:rFonts w:ascii="Tahoma" w:hAnsi="Tahoma" w:cs="Tahoma"/>
                <w:color w:val="333333"/>
                <w:shd w:val="clear" w:color="auto" w:fill="F8F8F8"/>
                <w:lang w:val="kk-KZ"/>
              </w:rPr>
              <w:t>М раствор для внутримышешных инъекций 625 МЕ/мл</w:t>
            </w:r>
          </w:p>
        </w:tc>
        <w:tc>
          <w:tcPr>
            <w:tcW w:w="609" w:type="dxa"/>
            <w:noWrap/>
            <w:vAlign w:val="center"/>
          </w:tcPr>
          <w:p w:rsidR="00155C85" w:rsidRPr="00155C85" w:rsidRDefault="00155C85" w:rsidP="00155C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C85">
              <w:rPr>
                <w:rFonts w:ascii="Times New Roman" w:hAnsi="Times New Roman" w:cs="Times New Roman"/>
              </w:rPr>
              <w:t>фл</w:t>
            </w:r>
            <w:proofErr w:type="spellEnd"/>
            <w:r w:rsidRPr="00155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  <w:noWrap/>
            <w:vAlign w:val="center"/>
          </w:tcPr>
          <w:p w:rsidR="00155C85" w:rsidRPr="00155C85" w:rsidRDefault="00155C85" w:rsidP="001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155C85" w:rsidRPr="00155C85" w:rsidRDefault="00155C85" w:rsidP="001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38990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155C85" w:rsidRPr="00155C85" w:rsidRDefault="00155C85" w:rsidP="00155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85">
              <w:rPr>
                <w:rFonts w:ascii="Times New Roman" w:hAnsi="Times New Roman" w:cs="Times New Roman"/>
                <w:color w:val="000000"/>
              </w:rPr>
              <w:t>1 169 700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C85" w:rsidRPr="00155C85" w:rsidRDefault="00155C85" w:rsidP="00155C85"/>
        </w:tc>
      </w:tr>
      <w:tr w:rsidR="00155C85" w:rsidRPr="00494045" w:rsidTr="000717E6">
        <w:trPr>
          <w:trHeight w:val="499"/>
        </w:trPr>
        <w:tc>
          <w:tcPr>
            <w:tcW w:w="447" w:type="dxa"/>
            <w:noWrap/>
            <w:hideMark/>
          </w:tcPr>
          <w:p w:rsidR="00155C85" w:rsidRPr="00494045" w:rsidRDefault="00155C85" w:rsidP="00155C8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43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  <w:r w:rsidRPr="00155C85">
              <w:rPr>
                <w:rFonts w:ascii="Calibri" w:eastAsia="Times New Roman" w:hAnsi="Calibri" w:cs="Times New Roman"/>
                <w:b/>
              </w:rPr>
              <w:t>1 342 404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3490-516A-4197-9762-E7C6D1D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303</cp:revision>
  <cp:lastPrinted>2021-03-12T08:32:00Z</cp:lastPrinted>
  <dcterms:created xsi:type="dcterms:W3CDTF">2020-05-19T05:45:00Z</dcterms:created>
  <dcterms:modified xsi:type="dcterms:W3CDTF">2021-03-26T09:36:00Z</dcterms:modified>
</cp:coreProperties>
</file>