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8073E8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Объявление №</w:t>
      </w:r>
      <w:r w:rsidR="00AB7333" w:rsidRPr="008073E8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3</w:t>
      </w:r>
      <w:r w:rsidR="00A73DD8" w:rsidRPr="008073E8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4</w:t>
      </w:r>
      <w:r w:rsidR="002C7637" w:rsidRPr="008073E8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proofErr w:type="gram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от </w:t>
      </w:r>
      <w:r w:rsidR="00DB6A4D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AD7685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12</w:t>
      </w:r>
      <w:r w:rsidR="0092082E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 w:rsidR="002746A3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 w:rsidR="00BF544D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proofErr w:type="gram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. 202</w:t>
      </w:r>
      <w:r w:rsidR="002746A3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года</w:t>
      </w:r>
    </w:p>
    <w:p w:rsidR="00BF2CCB" w:rsidRPr="008073E8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</w:t>
      </w:r>
      <w:r w:rsidR="00BF2CCB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="00BF2CCB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Алматинской</w:t>
      </w:r>
      <w:proofErr w:type="spellEnd"/>
      <w:r w:rsidR="00BF2CCB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области» </w:t>
      </w:r>
      <w:proofErr w:type="spellStart"/>
      <w:r w:rsidR="00BF2CCB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акиматаАлматинской</w:t>
      </w:r>
      <w:proofErr w:type="spellEnd"/>
      <w:r w:rsidR="00BF2CCB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 </w:t>
      </w:r>
      <w:r w:rsidR="00BF2CCB" w:rsidRPr="008073E8">
        <w:rPr>
          <w:rFonts w:ascii="Times New Roman" w:eastAsia="Times New Roman" w:hAnsi="Times New Roman" w:cs="Times New Roman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8073E8">
        <w:rPr>
          <w:rFonts w:ascii="Times New Roman" w:eastAsia="Times New Roman" w:hAnsi="Times New Roman" w:cs="Times New Roman"/>
          <w:sz w:val="18"/>
          <w:szCs w:val="18"/>
        </w:rPr>
        <w:t>1</w:t>
      </w:r>
      <w:r w:rsidR="00BF2CCB" w:rsidRPr="008073E8">
        <w:rPr>
          <w:rFonts w:ascii="Times New Roman" w:eastAsia="Times New Roman" w:hAnsi="Times New Roman" w:cs="Times New Roman"/>
          <w:sz w:val="18"/>
          <w:szCs w:val="18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8073E8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8073E8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Документы предоставляются согласно 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8073E8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8073E8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8073E8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             3.Сроки поставки: п</w:t>
      </w:r>
      <w:r w:rsidR="00D762C6" w:rsidRPr="008073E8">
        <w:rPr>
          <w:rFonts w:ascii="Times New Roman" w:eastAsia="Times New Roman" w:hAnsi="Times New Roman" w:cs="Times New Roman"/>
          <w:sz w:val="18"/>
          <w:szCs w:val="18"/>
        </w:rPr>
        <w:t>о заявке Заказчика до 31.12.2021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BF2CCB" w:rsidRPr="008073E8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Место поставки: 040600,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</w:t>
      </w:r>
    </w:p>
    <w:p w:rsidR="001A372E" w:rsidRPr="008073E8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Место представления (приема) документов: 040600,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области»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акимата</w:t>
      </w:r>
      <w:proofErr w:type="spellEnd"/>
      <w:r w:rsidR="00CF6E01" w:rsidRPr="008073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области</w:t>
      </w:r>
      <w:r w:rsidR="001A372E" w:rsidRPr="008073E8">
        <w:rPr>
          <w:rFonts w:ascii="Times New Roman" w:eastAsia="Times New Roman" w:hAnsi="Times New Roman" w:cs="Times New Roman"/>
          <w:sz w:val="18"/>
          <w:szCs w:val="18"/>
        </w:rPr>
        <w:t>, в кабинет главного бухгалтера</w:t>
      </w:r>
    </w:p>
    <w:p w:rsidR="000A4E8B" w:rsidRPr="008073E8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               Окончательный срок подачи ценовых</w:t>
      </w:r>
      <w:r w:rsidR="00CF6E01" w:rsidRPr="008073E8">
        <w:rPr>
          <w:rFonts w:ascii="Times New Roman" w:eastAsia="Times New Roman" w:hAnsi="Times New Roman" w:cs="Times New Roman"/>
          <w:sz w:val="18"/>
          <w:szCs w:val="18"/>
        </w:rPr>
        <w:t xml:space="preserve"> предложений - до 12-30 часов </w:t>
      </w:r>
    </w:p>
    <w:p w:rsidR="00BF2CCB" w:rsidRPr="008073E8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gramStart"/>
      <w:r w:rsidR="00AB7333" w:rsidRPr="008073E8">
        <w:rPr>
          <w:rFonts w:ascii="Times New Roman" w:eastAsia="Times New Roman" w:hAnsi="Times New Roman" w:cs="Times New Roman"/>
          <w:sz w:val="18"/>
          <w:szCs w:val="18"/>
        </w:rPr>
        <w:t>1</w:t>
      </w:r>
      <w:r w:rsidR="00AD7685" w:rsidRPr="008073E8">
        <w:rPr>
          <w:rFonts w:ascii="Times New Roman" w:eastAsia="Times New Roman" w:hAnsi="Times New Roman" w:cs="Times New Roman"/>
          <w:sz w:val="18"/>
          <w:szCs w:val="18"/>
        </w:rPr>
        <w:t>9</w:t>
      </w:r>
      <w:r w:rsidR="0025591A" w:rsidRPr="008073E8">
        <w:rPr>
          <w:rFonts w:ascii="Times New Roman" w:eastAsia="Times New Roman" w:hAnsi="Times New Roman" w:cs="Times New Roman"/>
          <w:sz w:val="18"/>
          <w:szCs w:val="18"/>
        </w:rPr>
        <w:t>»</w:t>
      </w:r>
      <w:r w:rsidR="002746A3" w:rsidRPr="008073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2CCB" w:rsidRPr="008073E8">
        <w:rPr>
          <w:rFonts w:ascii="Times New Roman" w:eastAsia="Times New Roman" w:hAnsi="Times New Roman" w:cs="Times New Roman"/>
          <w:sz w:val="18"/>
          <w:szCs w:val="18"/>
        </w:rPr>
        <w:t> </w:t>
      </w:r>
      <w:r w:rsidR="00BC49C0" w:rsidRPr="008073E8">
        <w:rPr>
          <w:rFonts w:ascii="Times New Roman" w:eastAsia="Times New Roman" w:hAnsi="Times New Roman" w:cs="Times New Roman"/>
          <w:sz w:val="18"/>
          <w:szCs w:val="18"/>
        </w:rPr>
        <w:t>марта</w:t>
      </w:r>
      <w:proofErr w:type="gramEnd"/>
      <w:r w:rsidR="00BC49C0" w:rsidRPr="008073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2CCB" w:rsidRPr="008073E8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="00166C0E" w:rsidRPr="008073E8">
        <w:rPr>
          <w:rFonts w:ascii="Times New Roman" w:eastAsia="Times New Roman" w:hAnsi="Times New Roman" w:cs="Times New Roman"/>
          <w:sz w:val="18"/>
          <w:szCs w:val="18"/>
        </w:rPr>
        <w:t>1</w:t>
      </w:r>
      <w:r w:rsidR="00BF2CCB" w:rsidRPr="008073E8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BF2CCB" w:rsidRPr="008073E8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Дата, время и место вскрытия конвертов с ценовыми предложениями:</w:t>
      </w:r>
    </w:p>
    <w:p w:rsidR="00BF2CCB" w:rsidRPr="008073E8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Конверты с ценовыми предложениями вскрываются комиссией в 1</w:t>
      </w:r>
      <w:r w:rsidR="000A4E8B" w:rsidRPr="008073E8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-00 часов по адресу: 040600,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области»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акимата</w:t>
      </w:r>
      <w:proofErr w:type="spellEnd"/>
      <w:r w:rsidR="00F46C6D" w:rsidRPr="008073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области, в кабинете провизора.</w:t>
      </w:r>
    </w:p>
    <w:p w:rsidR="00BF2CCB" w:rsidRPr="008073E8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040600, </w:t>
      </w:r>
      <w:proofErr w:type="spell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Алматинская</w:t>
      </w:r>
      <w:proofErr w:type="spell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область, </w:t>
      </w:r>
      <w:proofErr w:type="spell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Жамбылский</w:t>
      </w:r>
      <w:proofErr w:type="spell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район, село </w:t>
      </w:r>
      <w:proofErr w:type="spell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Узынагаш</w:t>
      </w:r>
      <w:proofErr w:type="spell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Алматинской</w:t>
      </w:r>
      <w:proofErr w:type="spell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области» </w:t>
      </w:r>
      <w:proofErr w:type="spell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акиматаАлматинской</w:t>
      </w:r>
      <w:proofErr w:type="spell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области, со следующим содержанием: </w:t>
      </w:r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Номер и дату объявления заполнить, дата вскрытия конвертов в «___» __________ </w:t>
      </w:r>
      <w:proofErr w:type="gramStart"/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202</w:t>
      </w:r>
      <w:r w:rsidR="00CB7743"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1</w:t>
      </w:r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  года</w:t>
      </w:r>
      <w:proofErr w:type="gramEnd"/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в _______ часов.</w:t>
      </w:r>
    </w:p>
    <w:p w:rsidR="00BF2CCB" w:rsidRPr="008073E8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8073E8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Тел. для справок: 7</w:t>
      </w:r>
      <w:r w:rsidR="00D13D33"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(72770) 2-34-51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</w:t>
      </w:r>
      <w:r w:rsidR="002166CD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</w:t>
      </w:r>
    </w:p>
    <w:p w:rsidR="009E6F03" w:rsidRPr="008073E8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  <w:r w:rsidR="00BF2CCB"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к настоящему объявлению</w:t>
      </w: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111"/>
        <w:gridCol w:w="851"/>
        <w:gridCol w:w="1133"/>
        <w:gridCol w:w="1276"/>
        <w:gridCol w:w="1559"/>
        <w:gridCol w:w="2410"/>
      </w:tblGrid>
      <w:tr w:rsidR="00DD4C17" w:rsidRPr="008073E8" w:rsidTr="00DD4C17">
        <w:trPr>
          <w:trHeight w:val="42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hideMark/>
          </w:tcPr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hideMark/>
          </w:tcPr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111" w:type="dxa"/>
            <w:vMerge w:val="restart"/>
          </w:tcPr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851" w:type="dxa"/>
            <w:vMerge w:val="restart"/>
          </w:tcPr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</w:t>
            </w:r>
          </w:p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DD4C17" w:rsidRPr="008073E8" w:rsidRDefault="00DD4C17" w:rsidP="00A73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C17" w:rsidRPr="008073E8" w:rsidRDefault="00DD4C17" w:rsidP="00D4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Место поставки </w:t>
            </w:r>
          </w:p>
        </w:tc>
      </w:tr>
      <w:tr w:rsidR="00DD4C17" w:rsidRPr="008073E8" w:rsidTr="00DD4C17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D4C17" w:rsidRPr="008073E8" w:rsidRDefault="00DD4C17" w:rsidP="00D44D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D4C17" w:rsidRPr="008073E8" w:rsidRDefault="00DD4C17" w:rsidP="00D44D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DD4C17" w:rsidRPr="008073E8" w:rsidRDefault="00DD4C17" w:rsidP="00D44D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D4C17" w:rsidRPr="008073E8" w:rsidRDefault="00DD4C17" w:rsidP="00D44D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4C17" w:rsidRPr="008073E8" w:rsidRDefault="00DD4C17" w:rsidP="00D44D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7" w:rsidRPr="008073E8" w:rsidRDefault="00DD4C17" w:rsidP="00D44D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7" w:rsidRPr="008073E8" w:rsidRDefault="00DD4C17" w:rsidP="00A73D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7" w:rsidRPr="008073E8" w:rsidRDefault="00DD4C17" w:rsidP="00A73D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8C4C9B">
            <w:pPr>
              <w:pStyle w:val="aa"/>
              <w:ind w:left="850"/>
              <w:jc w:val="center"/>
              <w:rPr>
                <w:b/>
                <w:color w:val="0070C0"/>
                <w:sz w:val="18"/>
                <w:szCs w:val="18"/>
                <w:lang w:val="ru-RU"/>
              </w:rPr>
            </w:pPr>
            <w:r w:rsidRPr="008073E8">
              <w:rPr>
                <w:b/>
                <w:color w:val="0070C0"/>
                <w:sz w:val="18"/>
                <w:szCs w:val="18"/>
                <w:lang w:val="ru-RU"/>
              </w:rPr>
              <w:t>РЕАГЕНТЫ И КОНТРОЛИ ДЛЯ ГЕМАТОЛОГИЧЕСКОГО</w:t>
            </w:r>
          </w:p>
          <w:p w:rsidR="00DD4C17" w:rsidRPr="008073E8" w:rsidRDefault="00DD4C17" w:rsidP="008C4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b/>
                <w:color w:val="0070C0"/>
                <w:sz w:val="18"/>
                <w:szCs w:val="18"/>
              </w:rPr>
              <w:t xml:space="preserve">АНАЛИЗАТОРА </w:t>
            </w:r>
            <w:r w:rsidRPr="008073E8">
              <w:rPr>
                <w:rFonts w:eastAsia="Times New Roman"/>
                <w:b/>
                <w:color w:val="0070C0"/>
                <w:sz w:val="18"/>
                <w:szCs w:val="18"/>
              </w:rPr>
              <w:t xml:space="preserve">MicroCC20 </w:t>
            </w:r>
            <w:proofErr w:type="spellStart"/>
            <w:r w:rsidRPr="008073E8">
              <w:rPr>
                <w:rFonts w:eastAsia="Times New Roman"/>
                <w:b/>
                <w:color w:val="0070C0"/>
                <w:sz w:val="18"/>
                <w:szCs w:val="18"/>
              </w:rPr>
              <w:t>Plus</w:t>
            </w:r>
            <w:proofErr w:type="spellEnd"/>
            <w:r w:rsidRPr="008073E8">
              <w:rPr>
                <w:rFonts w:eastAsia="Times New Roman"/>
                <w:b/>
                <w:color w:val="0070C0"/>
                <w:sz w:val="18"/>
                <w:szCs w:val="18"/>
              </w:rPr>
              <w:t>, HTI, США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C17" w:rsidRPr="008073E8" w:rsidRDefault="00DD4C17" w:rsidP="00216127">
            <w:pPr>
              <w:rPr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630"/>
        </w:trPr>
        <w:tc>
          <w:tcPr>
            <w:tcW w:w="534" w:type="dxa"/>
            <w:tcBorders>
              <w:top w:val="single" w:sz="4" w:space="0" w:color="auto"/>
            </w:tcBorders>
          </w:tcPr>
          <w:p w:rsidR="00DD4C17" w:rsidRPr="008073E8" w:rsidRDefault="00DD4C17" w:rsidP="008C4C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4C17" w:rsidRPr="008073E8" w:rsidRDefault="00DD4C17" w:rsidP="008C4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Изотонический  разбавитель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D4C17" w:rsidRPr="008073E8" w:rsidRDefault="00DD4C17" w:rsidP="008C4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Буферный водный раствор с фиксированными параметрами рН, электропроводимости и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осмолярности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. Бесцветная жидкость без запаха. Содержание сульфата натрия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&lt; 2.0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%; 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хлорида  натрия &lt; 0.025%; лимонной кислоты &lt; 0.2; солей ЭДТА &lt; 0.1%; стабилизаторов &lt; 0.04% . Отметка на упаковке о дате изготовления, условия хранения указаны на этикетке. Канистра из первичного полиэтилена 1 шт.  Фасовка: Канистра -1*20л.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DD4C17" w:rsidRPr="008073E8" w:rsidRDefault="00DD4C17" w:rsidP="008C4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D4C17" w:rsidRPr="008073E8" w:rsidRDefault="00DD4C17" w:rsidP="008C4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C17" w:rsidRPr="008073E8" w:rsidRDefault="00DD4C17" w:rsidP="008C4C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45120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D4C17" w:rsidRPr="008073E8" w:rsidRDefault="00DD4C17" w:rsidP="008C4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812 160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7" w:rsidRPr="008073E8" w:rsidRDefault="00DD4C17" w:rsidP="008C4C9B">
            <w:pPr>
              <w:rPr>
                <w:sz w:val="18"/>
                <w:szCs w:val="18"/>
              </w:rPr>
            </w:pPr>
            <w:proofErr w:type="spellStart"/>
            <w:r w:rsidRPr="008073E8">
              <w:rPr>
                <w:sz w:val="18"/>
                <w:szCs w:val="18"/>
              </w:rPr>
              <w:t>Алматинская</w:t>
            </w:r>
            <w:proofErr w:type="spellEnd"/>
            <w:r w:rsidRPr="008073E8">
              <w:rPr>
                <w:sz w:val="18"/>
                <w:szCs w:val="18"/>
              </w:rPr>
              <w:t xml:space="preserve"> область, </w:t>
            </w:r>
            <w:proofErr w:type="spellStart"/>
            <w:r w:rsidRPr="008073E8">
              <w:rPr>
                <w:sz w:val="18"/>
                <w:szCs w:val="18"/>
              </w:rPr>
              <w:t>Жамбылский</w:t>
            </w:r>
            <w:proofErr w:type="spellEnd"/>
            <w:r w:rsidRPr="008073E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073E8">
              <w:rPr>
                <w:sz w:val="18"/>
                <w:szCs w:val="18"/>
              </w:rPr>
              <w:t>район,с.Узынагаш</w:t>
            </w:r>
            <w:proofErr w:type="spellEnd"/>
            <w:proofErr w:type="gramEnd"/>
            <w:r w:rsidRPr="008073E8">
              <w:rPr>
                <w:sz w:val="18"/>
                <w:szCs w:val="18"/>
              </w:rPr>
              <w:t xml:space="preserve">, </w:t>
            </w:r>
            <w:proofErr w:type="spellStart"/>
            <w:r w:rsidRPr="008073E8">
              <w:rPr>
                <w:sz w:val="18"/>
                <w:szCs w:val="18"/>
              </w:rPr>
              <w:t>ул.Карасай</w:t>
            </w:r>
            <w:proofErr w:type="spellEnd"/>
            <w:r w:rsidRPr="008073E8">
              <w:rPr>
                <w:sz w:val="18"/>
                <w:szCs w:val="18"/>
              </w:rPr>
              <w:t xml:space="preserve"> батыра №259</w:t>
            </w:r>
          </w:p>
        </w:tc>
      </w:tr>
      <w:tr w:rsidR="00DD4C17" w:rsidRPr="008073E8" w:rsidTr="00DD4C17">
        <w:trPr>
          <w:trHeight w:val="660"/>
        </w:trPr>
        <w:tc>
          <w:tcPr>
            <w:tcW w:w="534" w:type="dxa"/>
            <w:hideMark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7" w:colLast="7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раствор 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Водный раствор с фиксированными параметрами рН. Чистая, бесцветная жидкость. Содержание четвертичной соли аммония 2,3%, цианида калия 0,025%.  Отметка на упаковке о дате изготовления, условия хранения указаны на этикетке. 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Циллиндрический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флакон из первичного полиэтилена 1 шт. 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Фасовка:  1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*1л.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53650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965 700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600"/>
        </w:trPr>
        <w:tc>
          <w:tcPr>
            <w:tcW w:w="534" w:type="dxa"/>
            <w:hideMark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Ферментативный   Очиститель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Буферный водный раствор с фиксированными параметрами рН, электропроводимости и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осмолярности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. Жидкость синего цвета без запаха. Содержание протеолитического фермента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%; формиата натрия &lt; 0.8 %; хлорида натрия &lt; 0.6%, солей ЭДТА &lt; 0.2%;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пропиленгликоля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&lt; 3.5%;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сурфактанта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&lt; 0.2%.  Отметка на упаковке о дате изготовления, условия хранения указаны на этикетке.  Флакон из первичного полиэтилена 1 шт.  Фасовка: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1*1л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35230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634 140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00"/>
        </w:trPr>
        <w:tc>
          <w:tcPr>
            <w:tcW w:w="534" w:type="dxa"/>
            <w:hideMark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Ферментативный  Очиститель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Концентрат 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Буферный раствор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гипохлорида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натрия. Жидкость бледно-желтого цвета с запахом хлорки.   Состав: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гипохлорид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натрия не менее 5%.  Условия хранения указаны на этикетке.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Циллиндрический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флакончик из первичного полиэтилена 1 шт.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Фасовка: 1*0,5 мл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15100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271 800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0"/>
      <w:tr w:rsidR="00DD4C17" w:rsidRPr="008073E8" w:rsidTr="00DD4C17">
        <w:trPr>
          <w:trHeight w:val="960"/>
        </w:trPr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кровь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Предназначена для оценки точности и достоверности результатов, полученных на гематологических анализаторах.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Ежедневное использование контрольной крови обеспечивает точность и достоверность получаемых результатов.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Контрольная  кровь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анализируется так же, как  и образцы исследуемой крови.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Реагент содержит стабилизированные эритроциты человека, тромбоциты, стабилизаторы.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Стабильность: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Стабильность закрытого флакона 6 месяцев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Стабильность  открытого флакона 30дн.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Фасовка: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>В наборе 3 флакона по 2,5мл  (1 высокий уровень, 1 низкий уровень, 1 нормальный уровень).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98700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1 776 600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8C4C9B">
            <w:pPr>
              <w:pStyle w:val="aa"/>
              <w:ind w:left="850"/>
              <w:jc w:val="center"/>
              <w:rPr>
                <w:b/>
                <w:color w:val="0070C0"/>
                <w:sz w:val="18"/>
                <w:szCs w:val="18"/>
                <w:lang w:val="ru-RU"/>
              </w:rPr>
            </w:pPr>
            <w:r w:rsidRPr="008073E8">
              <w:rPr>
                <w:b/>
                <w:color w:val="0070C0"/>
                <w:sz w:val="18"/>
                <w:szCs w:val="18"/>
                <w:lang w:val="ru-RU"/>
              </w:rPr>
              <w:t>РЕАГЕНТЫ ДЛЯ КОАГУЛОМЕТРОВ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Реакционные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кюветы  для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коагулометра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 TS4000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Назначение  -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Емкость для измерения свертываемости крови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Материал изготовления –Пластик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Вес кюветы - 2,94 г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кювет  -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Соединены по 4 штуки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Размеры блока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кювет  (</w:t>
            </w:r>
            <w:proofErr w:type="spellStart"/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*  длина * ширина) 30 * 65 *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8073E8">
                <w:rPr>
                  <w:rFonts w:ascii="Times New Roman" w:hAnsi="Times New Roman" w:cs="Times New Roman"/>
                  <w:sz w:val="18"/>
                  <w:szCs w:val="18"/>
                </w:rPr>
                <w:t>16 мм</w:t>
              </w:r>
            </w:smartTag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Линейные размеры ячейки кюветы (длина * ширина) 12 *12 мм Количество штук в упаковке – 700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Срок годности - Не ограничен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112 800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225 600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Шарики стальные для   фиксации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времени  образования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сгустка для 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коагулометра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TS1000,  TS4000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Назначение: Используются для определения свертываемости крови в анализаторе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изготовления -  Металл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Вес шарика - 55 мг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Размер шарика (диаметр) - 0,24 см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1600,   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Срок работы - 5 лет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61 100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122 200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1, набор реагентов 1х1мл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Состав и описание изделия: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Материал получен из человеческой плазмы, собранной с использованием антикоагулянта цитрата натрия (0,4%). Контроли 2 и 3дают удлиненные относительно нормальных значения АЧТВ и ПВ. Контрольные материалы также содержат стабилизаторы и буферы, добавленные перед лиофилизацией (&lt;1,0%)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ПРИНЦИП МЕТОДА.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контрольных материалов позволяет обеспечивать уверенность в правильности получаемых результатов. Нормальный и патологические уровни контроля должны использоваться при проведении каждого из видов анализа при смене реагентов, персонала, а также после анализа каждых 40 проб. Контроль 1 предназначен для оценки точности определения таких параметров, как ПВ, АЧТВ, TT** и фибриногена. 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Область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применения  Клиническая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и лабораторная диагностика.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Условия хранения: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1. Реагент хранить при температуре + 2 до + 8.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При открытий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реагент стабилен в течений 30 дней при температуре + 2 до + 8.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годности:  1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15 856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31 712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 реагентов для определения содержания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Фибриногена (Тромбин для определения содержания фибриногена 6х2 мл,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Референсная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плазма для определения фибриногена 1х1 мл, Буфер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имидазоловый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2х75мл 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ПРИНЦИП МЕТОДА.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Метод определения содержания фибриногена с помощью измерения времени образования сгустка основан на методе, описанном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Клауссом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. В присутствии высоких концентраций тромбина время образования фибринового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сгустка  пропорционально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концентрации фибриногена в пробе.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Область применения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Клиническая и лабораторная диагностика.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Условия хранения: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1. Реагент хранить при температуре + 2 до + 8.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При открытий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реагент стабилен в течений 30 дней при температуре + 2 до + 8.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годности:  1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62 300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124 600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 реагентов для определения Активированного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Частичного 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Тромбопластинового</w:t>
            </w:r>
            <w:proofErr w:type="spellEnd"/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 Времени 5х2мл, кальция   хлорид 5*2ml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 и описание изделия: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АЧТВ реагент 5×2.0мл.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АЧТВ реагент: 0,1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эллаговой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кислоты, буферы, соли и стабилизаторы.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Кальция хлорид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CaCl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5х2мл.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Кальция хлорид (0,025М). Кальция хлорид (0.025 M): 0,025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 раствор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хлорида кальция, 0,1% азида натрия и стабилизаторы.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ПРИНЦИП МЕТОДА.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 АЧТВ относится к традиционным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скрининговым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коагулологическим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тестам и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используется для обнаружения патологий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внутреннегои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общего путей свертывания крови, а также острых функциональных нарушениях факторов II, V, X и фибриногена. Определение АЧТВ может проводиться с целью мониторинга эффективности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гепаринотерапии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поскольку удлинение АЧТВ пропорционально уровню гепарина в пробе.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 АЧТВ проводится с помощью добавления к исследуемой цитратной плазме реагента, содержащего активатор внутреннего каскада свертывания и фосфолипиды.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Реагентнаясмесь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инкубируется в течение 3 минут при 37° C, после чего в нее добавляют ионы кальция, запускающие процесс свертывания, и определяют время образования фибринового сгустка.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Область применения - Клиническая и лабораторная диагностика.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 хранения: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Реагент хранить при температуре + 2 до + 8.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открытий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реагент стабилен в течений 30 дней при температуре + 2 до + 8.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годности: 1год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18 730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37 460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для  определения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Протромбинового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 времени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 и описание изделия: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5×2 мл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ПВ реагент: рекомбинантный человеческий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тромбопластин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(&lt;1мкг/мл), фосфолипиды, кальция хлорид, буферы, соли и стабилизаторы.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ПРИНЦИП МЕТОДА.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ПВ проводится в качестве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скринингового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теста, выявляющего нарушения внешнего пути свертывания крови, а также в качестве количественного теста при определении активностей факторов II,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V,VII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X. Метод используется для мониторинга эффективности и адекватности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антикоагулянтной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терапии. С помощью определения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протромбинового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времени также проводится оценка функционального состояния печени при различных заболеваниях.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добавлении рекомбинантного человеческого тканевого фактора и ионов кальция в исследуемую цитратную плазму время образования фибринового сгустка зависит только от активности факторов внешнего и общего путей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коагуляции: I, II, V, VII, X.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добавления указанных реактивов в плазму измеряют время от момента добавления реактивов до момента образования фибринового сгустка.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Область применения -  Клиническая и лабораторная диагностика.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 хранения: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Реагент хранить при температуре + 2 до + 8.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открытий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реагент стабилен в течений 30 дней при температуре + 2 до + 8.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годности:   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год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19  290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38 580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  <w:tcBorders>
              <w:right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8C4C9B">
            <w:pPr>
              <w:spacing w:before="64"/>
              <w:ind w:left="851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Реагенты и контроли для автоматических биохимических анализаторов </w:t>
            </w:r>
            <w:proofErr w:type="spellStart"/>
            <w:r w:rsidRPr="008073E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BioChem</w:t>
            </w:r>
            <w:proofErr w:type="spellEnd"/>
            <w:r w:rsidRPr="008073E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FC200, HTI, США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аланинаминотрансферазы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(ALT или SGPT)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- пробы сыворотка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 -  IFCC, кинетика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Химический состав реагента, раствора Состав готового раствора: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L-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Аланин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500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ЛДГ    &gt;1200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Трис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-буфер, рН 7,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5  100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2-Оксоглутарат  15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NADH (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Динатриевая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соль) 0,18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Азид натрия (0,2%), стабилизаторы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 - 340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Рабочая температура для ручного метода определения, С - 37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анализа, минут - 3 Стабильность готового раствора, суток -14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Условия хранения - 2-8 гр.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Линейность - 0-500 МЕ/л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Чувствительность - 1,8 МЕ/л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Форма-  жидкая, готов к использованию Состав набора -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Фасовка - 1x100 мл реагент R1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1x20 мл реагент R2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18 400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460 000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количественного определения альбумина в сыворотке крови методом по конечной точке c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бромкрезоловым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зеленым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Бромкрезоловый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зеленый,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основного реагента: 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Бром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крезоловый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зеленый (BCG) - 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8073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 xml:space="preserve">0,25 </w:t>
              </w:r>
              <w:proofErr w:type="spellStart"/>
              <w:r w:rsidRPr="008073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мМ</w:t>
              </w:r>
            </w:smartTag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буфер, рН 4,0+0,1;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сурфактант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инертные ингредиенты и стабилизаторы.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 Стандарт: Бычий сывороточный альбумин Фракция V со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стабилизатором (5 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630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5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Стабильность: реагент при комнатной температуре, стандарт при температуре 2-8 °С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альбумина в норме: 3,5 - 5,3 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Линейность: 0,5 - 8,0 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1x125 мл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1х5 мл стандарт альбумина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16 350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245 250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реагентов  Фосфатаза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Щелочная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Метод: кинетический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 основного реагента после смешивания реагента 1 и реагента 2: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п-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нитрофенил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фосфат 17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spellEnd"/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Ионы магния 4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spellEnd"/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Буфер (рН 10,2±0,2)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Активатор и связывающий компонент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405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Длительность анализа: 6 минут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в норме: 35-123 МЕ/л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Линейность: 900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взрослых – 25-90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 при 37ºС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Стабильность:  Рабочий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реагент стабилен в течение 14 дней при 2-8 ºС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 100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  Реагент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 20 мл    Реагент 2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15 800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для количественного определения альфа-амилазы в сыворотке крови ферментативным кинетическим методом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Метод: CNPG3, кинетика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основного реагента: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MES                         100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6.0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CNPG3                     2.25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Хлорид натрия        350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Ацетат кальция       6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Тиоцианид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калия    900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Азид натрия             0.95 г/л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405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Длительность анализа: 6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альфа-амилазы в норме: 25-125 МЕ/л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Линейность: 13-2400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Фасовка:1x125 мл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реагент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68 720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343 600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реагентов для определения аспарагин-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аминотрансферазы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(AST или SGOT)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пробы –сыворотка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 -ферментативный, кинетика Химический состав реагента, раствора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готового раствора: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L-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Аспартат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240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МДГ (мышцы свиньи) &gt;600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ЛДГ (мышцы кролика) &gt;600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Трис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-буфер, рН 7,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5  80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2-Оксоглутарат  12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NADH    0,18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волны- 340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Рабочая температура для ручного метода определения, С -37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Длительность анализа, минут –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 Стабильность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готового раствора, суток – 21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Условия хранения - 2-8 гр.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Линейность - 0-500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 Чувствительность - 2,65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CV, % - 4,19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Форма - жидкая, готов к использованию Состав набора -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1x120 мл реагент R1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1x30 мл реагент R2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18 400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460 000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количественного определения билирубина прямого на автоматических и полуавтоматических биохимических анализаторах методом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Diazo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Технические характеристики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Diazo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 набора: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Реагент билирубина, буфер: Сульфаниловая кислота 32мM, соляная кислота 165мM.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Реагент билирубина, нитрит: Нитрит натрия 60мM.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Калибратор билирубина: N-1-нафтил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этилендиаминдихлорид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(5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550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/600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5 минут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Стабильность:  до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 часов при хранении в затемненном флаконе при комнатной температуре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в норме: 0,0-0,5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Линейность: 0 - 10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1х250мл реагент R1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1х25мл реагент R2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1х3мл калибратор билирубина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25 340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реагентов  Билирубин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общий (для  автоматов)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Тип пробы -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Cыворотка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 - DMSO (в модификации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Walters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Gerarde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конечная точка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Химический состав реагента, раствора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Реагент общего билирубина: Сульфаниловая кислота – 32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Соляная кислота -165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ДМСО – 7моль.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Нитритный реагент билирубина: нитрит натрия – 60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3. Калибратор билирубина: соль N-1-Нафтилэтилендиамин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дигидрохлорид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(5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85,5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/л). Длина волны-560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Рабочая температура для ручного метода определения, С-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Длительность анализа, минут- 5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 готового раствора, суток - 8 часов при комн. Темп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Условия хранения - 2-8 гр.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Линейность - 0-342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 Чувствительность - 0,17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CV, % - 2,9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Форма - Жидкая, готов к использованию Состав набора -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стандарт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Фасовка –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1x250мл реагент 1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1х25 мл реагент 2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1x3 мл калибратор билирубина.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25 340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633 500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 для определения калия в сыворотке турбидиметрическим методом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Метод: турбидиметрический,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1.Тетрафенилборат натрия 2.1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Консерванты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Концентраторы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2.Стандарт калия: 4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3 минуты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Концентрация магния в норме: 3,4-5,3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Линейность: 2-7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1x125 мл реагент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1х1,5 мл стандарт калия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15 310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76 550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 реагентов Биохимический контроль для контроля полученных данных и контроля точности проведения теста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Определяемые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параметры:  альбумин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общий/прямой билирубин, азот мочевины, мочевина, кальций, кальций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Арсеназо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 углекислый газ, хлор, холестерин,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креатинкиназа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глюкоза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Гексокиназняа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Оксидазная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железо, ОЖСС, магний, фосфор, калий, натрий, общий белок, триглицериды GPO, мочевая кислота, щелочная фосфатаза, кислая фосфатаза, АЛТ, АСТ, амилаза,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гаммаглутамилтранфераза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лактатдегидрогеназа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липаза,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лактат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Разведение: дистиллированная/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деионизированная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вода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 готового раствора: 7 суток за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исключением щелочной фосфатазы и билирубина 48 часов) при температуре 2-8 °С.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1 - 1x5мл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2 - 1х5мл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17890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214 680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Биохимический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предназначен для калибровки в количественных тестах на автоматических и полуавтоматических анализаторах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Определяемые параметры: Альбумин, Общий Билирубин, Прямой Билирубин, Азот мочевины, Кальций, CO2, Хлор, Холестерин,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Глюкоза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Гекс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Окс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Железо, Магний, Фосфор, Калий, Натрий, Общий Белок, Триглицериды, Мочевая Кислота.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сыворотка человека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Разведение: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деионизированная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вода</w:t>
            </w:r>
          </w:p>
          <w:p w:rsidR="00DD4C17" w:rsidRPr="008073E8" w:rsidRDefault="00DD4C17" w:rsidP="00216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Стабильность готового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раствора:  разбавленный</w:t>
            </w:r>
            <w:proofErr w:type="gram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химический калибратор стабилен в течение 5 дней при температуре 2-8 °С (за исключением билирубина - 4 суток)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Фасовка:   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1x5мл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18 100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217 200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количественного определения холестерина в сыворотке крови методом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Триндера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Триндера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основного реагента: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4-Аминоантипирин                      0,6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Холат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натрия                                 8,0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Эстераза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холестерина                   ≥ 150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Оксидаза холестерина                  ≥ 150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хрена                        ≥ 1,200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п-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Гидроксибензолсульфонат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Буфер, рН 6,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   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125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инертные компоненты.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12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Концентрация холестерина в норме: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 200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Линейность: 0 - 700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1x125 мл реагент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1х5 мл стандарт холестерина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18 920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473 000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 контролей С-реактивный белок высокой чувствительности для использования в качестве контрольного образца известной концентрации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Определяемые параметры: С-реактивный белок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I: сыворотка человека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II: сыворотка человека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Стабильность:  в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течение всего срока годности, указанного на упаковке и этикетках, при температуре 2-8 °С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3x 3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  Уровень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3x 3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  Уровень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92 810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2 784 300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 стандартов С-реактивного белка высокой чувствительности для калибровки анализаторов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Определяемые параметры: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Стандарт (2,5 – 160 мг/л) человеческого С-реактивного белка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(консервант - натрия азид 0,1%)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Стабильность: 1 месяц при температуре 2-8 °C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5x 2 мл Стандарт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173 650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694 600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С-реактивного белка сыворотке и плазме крови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иммунотурбидиметрическим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методом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иммунотурбидиметрический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Р1: буфер реагент 1Х50 мл – раствор 170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глицинового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буфера;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Р2: латексная суспензия 1Х50 мл – 0,20% раствор латексных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частиц, покрытых кроличьими анти-С-РБ-античеловеческими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антителами.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570/800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Время анализа: 15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Стабильность: 1 месяц при температуре 2-8 °C, закрытые в течение 18 месяцев с даты изготовления, указанной на упаковке и этикетках.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 1х50 мл реагент 1 (буфер)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1х50 мл реагент 2 (латексная взвесь)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143 570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574 280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количественного определения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креатинина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кинетическим методом Яффе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Метод: Яффе, кинетика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основных реагентов: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1. Реагент пикриновой кислоты: раствор, содержащий 10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пикриновой кислоты.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Буфер Натрия гидроксид: раствор, содержащий 10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бората натрия, 240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гидроксида натрия.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Стандарт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(5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): раствор содержит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соляной кислоте в присутствии консервантов.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510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1 минута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Концентрация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норме: 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Мужчины 0,9-1,5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Женщины 0,7-1,37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Линейность: 0,1-25,0мг/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 рабочего раствора: 1 месяц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1x125 мл реагент R1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1x125 мл реагент R2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1х2 мл стандарт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30 200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755 000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для количественного определения содержания глюкозы в сыворотке крови по конечной</w:t>
            </w:r>
            <w:r w:rsidRPr="008073E8">
              <w:rPr>
                <w:rFonts w:eastAsia="SimSun"/>
                <w:b/>
                <w:sz w:val="18"/>
                <w:szCs w:val="18"/>
              </w:rPr>
              <w:t xml:space="preserve">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оксидазная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основного реагента: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Глюкозогексогиназа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15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/мл,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лошадиная)   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1,2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/мл,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4-Аминоантипирин                              0,2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Фенол                                                     4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Инертные вещества и консерванты.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Длительность анализа: 15 минут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глюкозы в норме: 70 - 105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Линейность: 0-500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1x125 мл реагент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 2 мл стандарт глюкозы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15 400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385 000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количественного определения липопротеинов высокой плотности (HDL) в сыворотке и плазме крови методом прямого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иммуноингибирования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без осаждения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Прямого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иммуноингибирования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без осаждения,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HDL-Холестериновый реагент 1: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Хлорид магния – 100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Аминоантипирин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Буфер, рН 7,0±0,1, консервант.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HDL-Холестериновый реагент 2: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хрена (POD) – 4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Оксидаза холестерина из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Nocardia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(PEG-CO) – 1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Эстераза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холестерина из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Pseudomonas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(PEG-CE) – 1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N-(2-гидрокси-3-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сульфопропил)-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3,5-диметоксианалин (HDAOS) – 0.3 г/л,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Буфер, рН 7.0±0.1,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сурфактант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консервант.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600/700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10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HDL в норме: 30-85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Линейность: 2-150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1x30 мл реагент R1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1x10 мл реагент R2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1х3 мл калибратор HDL/LDL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85 448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427 240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 контролей ЛПВП/ЛПНП для проведения контроля качества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Определяемые параметры: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сыворотка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Разведение: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деионизированная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вода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Стабильность готового раствора: 5 дней при температуре 2-8 °С 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2x 3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  Уровень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2x 3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  Уровень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66 829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200 487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количественного определения липопротеидов низкой плотности (LDL) в сыворотке и плазме крови методом прямого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иммуноингибирования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без осаждения по конечной точке.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Прямого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иммуноингибирования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без осаждения,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LDL-Холестериновый реагент 1: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Хлорид магния – 100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Аминоантипирин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Буфер, рН 7,0±0,1, консервант.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LDL-Холестериновый реагент 2: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хрена (POD) – 4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Оксидаза холестерина из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Nocardia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(PEG-CO) – 1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Эстераза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холестерина из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Pseudomonas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(PEG-CE) – 1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N-(2-гидрокси-3-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сульфопропил)-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3,5-диметоксианалин (HDAOS) – 0.3 г/л,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Буфер, рН 7.0±0.1,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сурфактант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консервант.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600/700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10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HDL в норме: 30-85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Линейность: 2-150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1x30 мл реагент R1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1x10 мл реагент R2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1х3 мл калибратор HDL/LDL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123 160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615 800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реагентoв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Железо для автоматических анализаторов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Химический состав реагента, раствора Состав готового раствора: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Глюкозогексогиназа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15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/мл,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лошадиная)   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1,2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/мл,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4-Аминоантипирин                              0,2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Фенол                                                     4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Инертные вещества и консерванты.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 - 500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Рабочая температура для ручного метода определения, С - 15 минут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анализа, минут - 6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Стабильность готового раствора, суток - 14 недели при 2-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8073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8°C</w:t>
              </w:r>
            </w:smartTag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5 дней при комнатной температуре (15-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8073E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25°C</w:t>
              </w:r>
            </w:smartTag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Условия хранения - 2-8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гр. ,</w:t>
            </w:r>
            <w:proofErr w:type="gram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 - 0-500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Чувствительность -70 - 105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Форма - 4,19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набора - жидкая, готов к использованию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1x100мл буферный реагент + 1x10мл 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окрашивающий реагент + 1x5мл стандарт железа набор. Набор готов к использованию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24 730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123 650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магния в сыворотке методом с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кальмагитом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Метод: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Кальмагит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, конечная точка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Состав набора: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Буфер: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2-этиламиноэтанол       6.0 г/л;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Цианид калия                 0.10 % г/л,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ЭГТА                              1.18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/л.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Окрашивающий реагент: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Кальмагит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0.006% г/л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Сурфактант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0,03 % г/л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Длина волны: 520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Длительность анализа: 5 минут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Концентрация магния в норме: 1,6-2,6 мг/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Линейность: 0-4,86 мг/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1x100 мл окрашивающий реагент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1x10 мл буферный реагент </w:t>
            </w:r>
          </w:p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1х5 мл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 готов к использованию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18 683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93 415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для определения калия в сыворотке турбидиметрическим методом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Метод: турбидиметрический,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1.Тетрафенилборат натрия 2.1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Консерванты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Концентраторы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2.Стандарт калия: 4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3 минуты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Концентрация магния в норме: 3,4-5,3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Линейность: 2-7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1x125 мл реагент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1х1,5 мл стандарт калия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16 524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49 572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количественного определения белка общего в сыворотке крови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биуретовым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методом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Биуретовый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основного реагента: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Гидроксид натрия             600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Сульфат меди                    12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Тартрат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натрия-калия       32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Йодид калия                      30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540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5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общего белка в норме: 6,2 - 8,5 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Линейность: 1-15,0 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1x125 мл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1х2 мл стандарт общего белка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19 890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497 250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количественного определения триглицеридов в сыворотке и плазме крови методом </w:t>
            </w: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энзиматического</w:t>
            </w:r>
            <w:proofErr w:type="spell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гидролиза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Триндера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основного реагента: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АТР                                            0.5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Ацетат магния                          12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4-Хлорфенол                             3.5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4-Аминофеназон                      0.3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Глицерин фосфат оксидаза  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&gt;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Липаза                                    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&gt;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200,000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Глицерокиназа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&gt;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&gt;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2,000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Буфер (рН 7.4)                           50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сурфактанты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стабилизаторы и консерванты.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520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9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триглицеридов в норме: 44 - 148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(0,50-1,67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/л)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Линейность: 0-1000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(0-11,3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/л)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1x125 мл реагент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1х5 мл стандарт триглицеридов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30 650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91 950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Азот  мочевины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Тип пробы сыворотка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Метод-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уреазный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глутаматдегидрогеназный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кинетика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Химический состав реагента, раствора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Трис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-буфер, рН 7,8   100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2-Оксоглутарат          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АDP                             0,6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&gt;20,000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ГлДГ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&gt;1,500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NADH                         0,25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волны- 340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Рабочая температура для ручного метода определения, С - 37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Длительность анализа, минут - 6,5 Стабильность готового раствора, суток - 14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 хранения - 2-8 гр.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Линейность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0-80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(0-15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/л) для азота мочевины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0-150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(0-28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/л) для мочевины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Чувствительность - 0,4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 мочевины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 -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жидкая, готов к использованию Состав набора -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стандарт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1x125 мл реагент R1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1x25 мл реагент R2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1х5 мл стандарт мочевины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1x500 мл реагент R1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1x100 мл реагент R2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1х5 мл стандарт мочевины. 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Контроли и реагенты одного производителя.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21 050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526 250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для определения мочевой кислоты в сыворотке крови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уриказным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 по конечной точке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Метод: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Триндера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уриказный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конечная точка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 основного реагента: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4-ААП             4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ДХГБС            2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Буфер рН 7.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волны: 520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нм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Длительность анализа: 13 минут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мочевой кислоты в норме: 2,5 - 7,7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Линейность: 0-20 мг/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Фасовка: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1x125 мл реагент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1х2 мл стандарт мочевой кислоты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 xml:space="preserve">20 810 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62 430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Реакционные кюветы   для FC-200 </w:t>
            </w: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в  упаковке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Пластик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 кюветы 9,37 г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кювет Соединены по 9 штуки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Размеры блока кювет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 длина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* ширина)37 * 7 * 7 мм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Количество штук в упаковке 160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годности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ограничен</w:t>
            </w: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133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D4C17" w:rsidRPr="008073E8" w:rsidRDefault="00DD4C17" w:rsidP="002166C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110 700</w:t>
            </w:r>
          </w:p>
        </w:tc>
        <w:tc>
          <w:tcPr>
            <w:tcW w:w="1559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110 700</w:t>
            </w:r>
          </w:p>
        </w:tc>
        <w:tc>
          <w:tcPr>
            <w:tcW w:w="2410" w:type="dxa"/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Промывочный  раствор</w:t>
            </w:r>
            <w:proofErr w:type="gramEnd"/>
            <w:r w:rsidRPr="008073E8">
              <w:rPr>
                <w:rFonts w:ascii="Times New Roman" w:hAnsi="Times New Roman" w:cs="Times New Roman"/>
                <w:sz w:val="18"/>
                <w:szCs w:val="18"/>
              </w:rPr>
              <w:t xml:space="preserve">  (концентрат) 500мл</w:t>
            </w:r>
            <w:r w:rsidRPr="008073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Применение: для промывки иглы дозатора автоматического биохимического анализатора и более тщательной промывки кювет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Разведение:  на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 мл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деонизированной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воды добавить 10 мл концентрата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1,05 N раствор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NaOH</w:t>
            </w:r>
            <w:proofErr w:type="spellEnd"/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35 450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35 450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7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8C4C9B">
            <w:pPr>
              <w:rPr>
                <w:color w:val="92D050"/>
                <w:sz w:val="18"/>
                <w:szCs w:val="18"/>
              </w:rPr>
            </w:pPr>
            <w:r w:rsidRPr="008073E8">
              <w:rPr>
                <w:bCs/>
                <w:sz w:val="18"/>
                <w:szCs w:val="18"/>
              </w:rPr>
              <w:t xml:space="preserve">    </w:t>
            </w:r>
            <w:proofErr w:type="spellStart"/>
            <w:r w:rsidRPr="008073E8">
              <w:rPr>
                <w:bCs/>
                <w:color w:val="0070C0"/>
                <w:sz w:val="18"/>
                <w:szCs w:val="18"/>
              </w:rPr>
              <w:t>UrineRS</w:t>
            </w:r>
            <w:proofErr w:type="spellEnd"/>
            <w:r w:rsidRPr="008073E8">
              <w:rPr>
                <w:bCs/>
                <w:color w:val="0070C0"/>
                <w:sz w:val="18"/>
                <w:szCs w:val="18"/>
              </w:rPr>
              <w:t xml:space="preserve"> H-10, HTI</w:t>
            </w:r>
            <w:r w:rsidRPr="008073E8">
              <w:rPr>
                <w:color w:val="92D050"/>
                <w:sz w:val="18"/>
                <w:szCs w:val="18"/>
              </w:rPr>
              <w:t xml:space="preserve">   Тест полоски для анализа мочи</w:t>
            </w:r>
          </w:p>
          <w:p w:rsidR="00DD4C17" w:rsidRPr="008073E8" w:rsidRDefault="00DD4C17" w:rsidP="008C4C9B">
            <w:pPr>
              <w:spacing w:line="243" w:lineRule="auto"/>
              <w:ind w:right="160" w:firstLine="580"/>
              <w:rPr>
                <w:sz w:val="18"/>
                <w:szCs w:val="18"/>
              </w:rPr>
            </w:pPr>
            <w:r w:rsidRPr="008073E8">
              <w:rPr>
                <w:sz w:val="18"/>
                <w:szCs w:val="18"/>
              </w:rPr>
              <w:t xml:space="preserve">Тест-полоски для анализаторов мочи CL-50, CL-500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4C17" w:rsidRPr="008073E8" w:rsidRDefault="00DD4C17" w:rsidP="0021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C17" w:rsidRPr="008073E8" w:rsidRDefault="00DD4C17" w:rsidP="00216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960"/>
        </w:trPr>
        <w:tc>
          <w:tcPr>
            <w:tcW w:w="534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Полоски диагностические для проведения анализа мочи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измеряемых параметров – 10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Измеряемые параметры (в порядке расположения на пластиковой основе) - лейкоциты, нитриты,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уробилиноген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белок, рН, скрытая кровь (эритроциты), удельный вес (относительная плотность мочи), кетоны, билирубин, глюкоза.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Интерпретация результата –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Качественный и полуколичественный анализ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Глюкоза: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более оксидаза глюкозы 800 МЕ;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 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МЕ;  4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-аминоантиририн 2,0мг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Билирубин: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более 2, 4-дихлорбензол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диазоний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14,3мг.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Кетоны: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более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нитропруссид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натрия 30,0 мг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Удельный вес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Не более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бромтимол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синий 0,4мг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Кровь: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более гидроперекись кумола 35,2мг; 3, 3`, 5, 5`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тетраметилбензидин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2,0мг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pH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более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бромксиленол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синий 3,3мг;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бромокрезоловый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зеленый 0,2мг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Белок: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более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тетрабромфенол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голубой 0,36мг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Уробилиноген: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proofErr w:type="spellEnd"/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более соль быстрого голубого В 1,2мг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Нитриты: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более сульфаниламид 0,65 мг; N-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этилендиаммоний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дигидрохлорида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0,45мг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073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Лейкоциты:</w:t>
            </w: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proofErr w:type="spellEnd"/>
            <w:proofErr w:type="gram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более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индоксильный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эфир 29,6мг; соль </w:t>
            </w: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диазония</w:t>
            </w:r>
            <w:proofErr w:type="spellEnd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14,8мг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Диапазон чувствительности</w:t>
            </w:r>
          </w:p>
          <w:p w:rsidR="00DD4C17" w:rsidRPr="008073E8" w:rsidRDefault="00DD4C17" w:rsidP="002166CD">
            <w:pPr>
              <w:pStyle w:val="a3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b/>
                <w:color w:val="000000"/>
                <w:sz w:val="18"/>
                <w:szCs w:val="18"/>
              </w:rPr>
              <w:t>Билирубин:</w:t>
            </w:r>
            <w:r w:rsidRPr="008073E8">
              <w:rPr>
                <w:color w:val="000000"/>
                <w:sz w:val="18"/>
                <w:szCs w:val="18"/>
                <w:lang w:eastAsia="en-US"/>
              </w:rPr>
              <w:t>8.6</w:t>
            </w:r>
            <w:proofErr w:type="gramEnd"/>
            <w:r w:rsidRPr="008073E8">
              <w:rPr>
                <w:color w:val="000000"/>
                <w:sz w:val="18"/>
                <w:szCs w:val="18"/>
                <w:lang w:eastAsia="en-US"/>
              </w:rPr>
              <w:t xml:space="preserve"> – 17 </w:t>
            </w:r>
            <w:proofErr w:type="spellStart"/>
            <w:r w:rsidRPr="008073E8">
              <w:rPr>
                <w:color w:val="000000"/>
                <w:sz w:val="18"/>
                <w:szCs w:val="18"/>
                <w:lang w:eastAsia="en-US"/>
              </w:rPr>
              <w:t>мкмоль</w:t>
            </w:r>
            <w:proofErr w:type="spellEnd"/>
            <w:r w:rsidRPr="008073E8">
              <w:rPr>
                <w:color w:val="000000"/>
                <w:sz w:val="18"/>
                <w:szCs w:val="18"/>
                <w:lang w:eastAsia="en-US"/>
              </w:rPr>
              <w:t>/л</w:t>
            </w:r>
            <w:r w:rsidRPr="008073E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pStyle w:val="a3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8073E8">
              <w:rPr>
                <w:b/>
                <w:color w:val="000000"/>
                <w:sz w:val="18"/>
                <w:szCs w:val="18"/>
              </w:rPr>
              <w:t xml:space="preserve">Удельная </w:t>
            </w:r>
            <w:proofErr w:type="gramStart"/>
            <w:r w:rsidRPr="008073E8">
              <w:rPr>
                <w:b/>
                <w:color w:val="000000"/>
                <w:sz w:val="18"/>
                <w:szCs w:val="18"/>
              </w:rPr>
              <w:t>плотность:</w:t>
            </w:r>
            <w:r w:rsidRPr="008073E8">
              <w:rPr>
                <w:color w:val="000000"/>
                <w:sz w:val="18"/>
                <w:szCs w:val="18"/>
                <w:lang w:eastAsia="en-US"/>
              </w:rPr>
              <w:t>1.000</w:t>
            </w:r>
            <w:proofErr w:type="gramEnd"/>
            <w:r w:rsidRPr="008073E8">
              <w:rPr>
                <w:color w:val="000000"/>
                <w:sz w:val="18"/>
                <w:szCs w:val="18"/>
                <w:lang w:eastAsia="en-US"/>
              </w:rPr>
              <w:t xml:space="preserve"> – 1.030</w:t>
            </w:r>
            <w:r w:rsidRPr="008073E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073E8">
              <w:rPr>
                <w:b/>
                <w:color w:val="000000"/>
                <w:sz w:val="18"/>
                <w:szCs w:val="18"/>
              </w:rPr>
              <w:t>Кровь:</w:t>
            </w:r>
            <w:r w:rsidRPr="008073E8">
              <w:rPr>
                <w:color w:val="000000"/>
                <w:sz w:val="18"/>
                <w:szCs w:val="18"/>
                <w:lang w:eastAsia="en-US"/>
              </w:rPr>
              <w:t xml:space="preserve">5-10 эритроцитов на </w:t>
            </w:r>
            <w:proofErr w:type="spellStart"/>
            <w:r w:rsidRPr="008073E8">
              <w:rPr>
                <w:color w:val="000000"/>
                <w:sz w:val="18"/>
                <w:szCs w:val="18"/>
                <w:lang w:eastAsia="en-US"/>
              </w:rPr>
              <w:t>мкл</w:t>
            </w:r>
            <w:proofErr w:type="spellEnd"/>
            <w:r w:rsidRPr="008073E8">
              <w:rPr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pStyle w:val="5"/>
              <w:spacing w:before="0" w:beforeAutospacing="0" w:after="0" w:afterAutospacing="0"/>
              <w:outlineLvl w:val="4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073E8">
              <w:rPr>
                <w:color w:val="000000"/>
                <w:sz w:val="18"/>
                <w:szCs w:val="18"/>
              </w:rPr>
              <w:t>pH:</w:t>
            </w:r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5.0</w:t>
            </w:r>
            <w:proofErr w:type="gramEnd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– 9.0</w:t>
            </w:r>
          </w:p>
          <w:p w:rsidR="00DD4C17" w:rsidRPr="008073E8" w:rsidRDefault="00DD4C17" w:rsidP="002166CD">
            <w:pPr>
              <w:pStyle w:val="5"/>
              <w:spacing w:before="0" w:beforeAutospacing="0" w:after="0" w:afterAutospacing="0"/>
              <w:outlineLvl w:val="4"/>
              <w:rPr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color w:val="000000"/>
                <w:sz w:val="18"/>
                <w:szCs w:val="18"/>
              </w:rPr>
              <w:t>Белок:</w:t>
            </w:r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0.1</w:t>
            </w:r>
            <w:proofErr w:type="gramEnd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– 0.3 г/л альбумина</w:t>
            </w:r>
            <w:r w:rsidRPr="008073E8">
              <w:rPr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pStyle w:val="5"/>
              <w:spacing w:before="0" w:beforeAutospacing="0" w:after="0" w:afterAutospacing="0"/>
              <w:outlineLvl w:val="4"/>
              <w:rPr>
                <w:color w:val="000000"/>
                <w:sz w:val="18"/>
                <w:szCs w:val="18"/>
              </w:rPr>
            </w:pPr>
            <w:r w:rsidRPr="008073E8">
              <w:rPr>
                <w:color w:val="000000"/>
                <w:sz w:val="18"/>
                <w:szCs w:val="18"/>
              </w:rPr>
              <w:t>Уробилиноген:</w:t>
            </w:r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17 – 33 </w:t>
            </w:r>
            <w:proofErr w:type="spellStart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мкмоль</w:t>
            </w:r>
            <w:proofErr w:type="spellEnd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/л</w:t>
            </w:r>
            <w:r w:rsidRPr="008073E8">
              <w:rPr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pStyle w:val="5"/>
              <w:spacing w:before="0" w:beforeAutospacing="0" w:after="0" w:afterAutospacing="0"/>
              <w:outlineLvl w:val="4"/>
              <w:rPr>
                <w:color w:val="000000"/>
                <w:sz w:val="18"/>
                <w:szCs w:val="18"/>
              </w:rPr>
            </w:pPr>
            <w:r w:rsidRPr="008073E8">
              <w:rPr>
                <w:color w:val="000000"/>
                <w:sz w:val="18"/>
                <w:szCs w:val="18"/>
              </w:rPr>
              <w:t>Нитриты:</w:t>
            </w:r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18 – </w:t>
            </w:r>
            <w:proofErr w:type="gramStart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26  </w:t>
            </w:r>
            <w:proofErr w:type="spellStart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мкмоль</w:t>
            </w:r>
            <w:proofErr w:type="spellEnd"/>
            <w:proofErr w:type="gramEnd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/л</w:t>
            </w:r>
            <w:r w:rsidRPr="008073E8">
              <w:rPr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pStyle w:val="5"/>
              <w:spacing w:before="0" w:beforeAutospacing="0" w:after="0" w:afterAutospacing="0"/>
              <w:outlineLvl w:val="4"/>
              <w:rPr>
                <w:color w:val="000000"/>
                <w:sz w:val="18"/>
                <w:szCs w:val="18"/>
              </w:rPr>
            </w:pPr>
            <w:r w:rsidRPr="008073E8">
              <w:rPr>
                <w:color w:val="000000"/>
                <w:sz w:val="18"/>
                <w:szCs w:val="18"/>
              </w:rPr>
              <w:t>Лейкоциты:</w:t>
            </w:r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15 – 60 клеток/</w:t>
            </w:r>
            <w:proofErr w:type="spellStart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мкл</w:t>
            </w:r>
            <w:proofErr w:type="spellEnd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гранулоцитов</w:t>
            </w:r>
            <w:r w:rsidRPr="008073E8">
              <w:rPr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pStyle w:val="5"/>
              <w:spacing w:before="0" w:beforeAutospacing="0" w:after="0" w:afterAutospacing="0"/>
              <w:outlineLvl w:val="4"/>
              <w:rPr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color w:val="000000"/>
                <w:sz w:val="18"/>
                <w:szCs w:val="18"/>
              </w:rPr>
              <w:t>Кетоны:</w:t>
            </w:r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0.5</w:t>
            </w:r>
            <w:proofErr w:type="gramEnd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– 1.0 </w:t>
            </w:r>
            <w:proofErr w:type="spellStart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ммоль</w:t>
            </w:r>
            <w:proofErr w:type="spellEnd"/>
            <w:r w:rsidRPr="008073E8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/л ацетоуксусной кислоты</w:t>
            </w:r>
            <w:r w:rsidRPr="008073E8">
              <w:rPr>
                <w:color w:val="000000"/>
                <w:sz w:val="18"/>
                <w:szCs w:val="18"/>
              </w:rPr>
              <w:t xml:space="preserve"> 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Глюкоза:</w:t>
            </w:r>
            <w:r w:rsidRPr="00807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2.2</w:t>
            </w:r>
            <w:proofErr w:type="gramEnd"/>
            <w:r w:rsidRPr="00807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– 2.8 </w:t>
            </w:r>
            <w:proofErr w:type="spellStart"/>
            <w:r w:rsidRPr="00807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ммоль</w:t>
            </w:r>
            <w:proofErr w:type="spellEnd"/>
            <w:r w:rsidRPr="00807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/л</w:t>
            </w: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eastAsia="Times New Roman"/>
                <w:color w:val="000000"/>
                <w:sz w:val="18"/>
                <w:szCs w:val="18"/>
              </w:rPr>
              <w:t>20900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104 500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C17" w:rsidRPr="008073E8" w:rsidTr="00DD4C17">
        <w:trPr>
          <w:trHeight w:val="234"/>
        </w:trPr>
        <w:tc>
          <w:tcPr>
            <w:tcW w:w="534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4C17" w:rsidRPr="008073E8" w:rsidRDefault="00DD4C17" w:rsidP="002166C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4C17" w:rsidRPr="008073E8" w:rsidRDefault="00DD4C17" w:rsidP="00EB505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8073E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16 501 906</w:t>
            </w:r>
          </w:p>
          <w:p w:rsidR="00DD4C17" w:rsidRPr="008073E8" w:rsidRDefault="00DD4C17" w:rsidP="00D44DD1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DD4C17" w:rsidRPr="008073E8" w:rsidRDefault="00DD4C17" w:rsidP="002166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F2CCB" w:rsidRPr="008073E8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8073E8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8073E8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препаратов, включенных в перечень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препаратов, 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утвержденный уполномоченным органом в области здравоохранения, (</w:t>
      </w:r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8073E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)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2) 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лекарственные средства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препараты,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изделия</w:t>
      </w:r>
      <w:proofErr w:type="spell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утвержденными уполномоченным органом в области здравоохранения;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3) 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маркировка, потребительская </w:t>
      </w:r>
      <w:proofErr w:type="spell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упаковка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4) 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срок годности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</w:r>
      <w:r w:rsidRPr="008073E8">
        <w:rPr>
          <w:rFonts w:ascii="Times New Roman" w:eastAsia="Times New Roman" w:hAnsi="Times New Roman" w:cs="Times New Roman"/>
          <w:sz w:val="18"/>
          <w:szCs w:val="18"/>
        </w:rPr>
        <w:lastRenderedPageBreak/>
        <w:t>      не менее тридцати процентов от срока годности, указанного на упаковке (при сроке годности менее двух лет);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препаратов, включенных в перечень 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                </w:t>
      </w:r>
    </w:p>
    <w:p w:rsidR="008C4C9B" w:rsidRPr="008073E8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                                                      </w:t>
      </w:r>
    </w:p>
    <w:p w:rsidR="00BF2CCB" w:rsidRPr="008073E8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4095"/>
      </w:tblGrid>
      <w:tr w:rsidR="00BF2CCB" w:rsidRPr="008073E8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8073E8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12</w:t>
            </w: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 приказу Министра здравоохранения и</w:t>
            </w: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социальног</w:t>
            </w:r>
            <w:r w:rsidR="00F46C6D"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развития Республики Казахстан </w:t>
            </w: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от 18 января 2017 года №20</w:t>
            </w:r>
          </w:p>
        </w:tc>
      </w:tr>
      <w:tr w:rsidR="00BF2CCB" w:rsidRPr="008073E8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8073E8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8073E8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</w:tc>
      </w:tr>
    </w:tbl>
    <w:p w:rsidR="00BF2CCB" w:rsidRPr="008073E8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Ценовое предложение потенциального поставщика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</w:t>
      </w:r>
      <w:proofErr w:type="gram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  (</w:t>
      </w:r>
      <w:proofErr w:type="gram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наименование потенциального поставщика,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br/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заполняется отдельно на каждый лот)</w:t>
      </w:r>
    </w:p>
    <w:p w:rsidR="00BF2CCB" w:rsidRPr="008073E8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8073E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Международные непатентованные наименования</w:t>
            </w:r>
          </w:p>
        </w:tc>
      </w:tr>
      <w:tr w:rsidR="00BF2CCB" w:rsidRPr="008073E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2CCB" w:rsidRPr="008073E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8073E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8073E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8073E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8073E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________ за единицу в ____ на условиях _______________</w:t>
            </w:r>
            <w:proofErr w:type="gramStart"/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_ </w:t>
            </w:r>
            <w:r w:rsidR="00453F34"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8073E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8073E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цена, в _____ на условиях</w:t>
            </w:r>
            <w:r w:rsidR="00DD696F"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D696F" w:rsidRPr="008073E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DDP</w:t>
            </w:r>
            <w:r w:rsidR="00DD696F"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ИНКОТЕРМС </w:t>
            </w:r>
            <w:proofErr w:type="gramStart"/>
            <w:r w:rsidR="00DD696F"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,</w:t>
            </w:r>
            <w:proofErr w:type="gramEnd"/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8073E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3E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D46A5" w:rsidRPr="008073E8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          ______________                                   </w:t>
      </w:r>
      <w:r w:rsidR="00C0446F" w:rsidRPr="008073E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       </w:t>
      </w:r>
      <w:r w:rsidR="00C0446F" w:rsidRPr="008073E8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="00F46C6D" w:rsidRPr="008073E8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="00C0446F" w:rsidRPr="008073E8">
        <w:rPr>
          <w:rFonts w:ascii="Times New Roman" w:eastAsia="Times New Roman" w:hAnsi="Times New Roman" w:cs="Times New Roman"/>
          <w:sz w:val="18"/>
          <w:szCs w:val="18"/>
        </w:rPr>
        <w:t xml:space="preserve">           Печать</w:t>
      </w:r>
      <w:r w:rsidR="00C0446F" w:rsidRPr="008073E8">
        <w:rPr>
          <w:rFonts w:ascii="Times New Roman" w:eastAsia="Times New Roman" w:hAnsi="Times New Roman" w:cs="Times New Roman"/>
          <w:sz w:val="18"/>
          <w:szCs w:val="18"/>
        </w:rPr>
        <w:br/>
        <w:t>       </w:t>
      </w:r>
      <w:proofErr w:type="gramStart"/>
      <w:r w:rsidR="00C0446F" w:rsidRPr="008073E8">
        <w:rPr>
          <w:rFonts w:ascii="Times New Roman" w:eastAsia="Times New Roman" w:hAnsi="Times New Roman" w:cs="Times New Roman"/>
          <w:sz w:val="18"/>
          <w:szCs w:val="18"/>
        </w:rPr>
        <w:t xml:space="preserve">Подпись,   </w:t>
      </w:r>
      <w:proofErr w:type="gramEnd"/>
      <w:r w:rsidR="00C0446F" w:rsidRPr="008073E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дата         </w:t>
      </w:r>
      <w:r w:rsidR="00C0446F" w:rsidRPr="008073E8">
        <w:rPr>
          <w:rFonts w:ascii="Times New Roman" w:eastAsia="Times New Roman" w:hAnsi="Times New Roman" w:cs="Times New Roman"/>
          <w:sz w:val="18"/>
          <w:szCs w:val="18"/>
        </w:rPr>
        <w:t xml:space="preserve">                                                            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8073E8">
        <w:rPr>
          <w:rFonts w:ascii="Times New Roman" w:eastAsia="Times New Roman" w:hAnsi="Times New Roman" w:cs="Times New Roman"/>
          <w:sz w:val="18"/>
          <w:szCs w:val="18"/>
        </w:rPr>
        <w:t>должность,фамилия,имя,отчество</w:t>
      </w:r>
      <w:proofErr w:type="spellEnd"/>
      <w:r w:rsidRPr="008073E8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BF2CCB" w:rsidRPr="008073E8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</w:t>
      </w:r>
      <w:r w:rsidR="00C0446F" w:rsidRPr="008073E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Pr="008073E8">
        <w:rPr>
          <w:rFonts w:ascii="Times New Roman" w:eastAsia="Times New Roman" w:hAnsi="Times New Roman" w:cs="Times New Roman"/>
          <w:sz w:val="18"/>
          <w:szCs w:val="18"/>
        </w:rPr>
        <w:t>(при его наличии)</w:t>
      </w:r>
    </w:p>
    <w:p w:rsidR="00BF2CCB" w:rsidRPr="008073E8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Директор   </w:t>
      </w:r>
    </w:p>
    <w:p w:rsidR="00BF2CCB" w:rsidRPr="008073E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ГКП на ПХВ «</w:t>
      </w:r>
      <w:proofErr w:type="spell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ЦРБ»   </w:t>
      </w:r>
      <w:proofErr w:type="gram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</w:t>
      </w:r>
      <w:proofErr w:type="spellStart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>Сураужанов</w:t>
      </w:r>
      <w:proofErr w:type="spellEnd"/>
      <w:r w:rsidRPr="008073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Д.А.</w:t>
      </w:r>
    </w:p>
    <w:sectPr w:rsidR="00BF2CCB" w:rsidRPr="008073E8" w:rsidSect="002166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66814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8E6"/>
    <w:rsid w:val="00122647"/>
    <w:rsid w:val="00122C41"/>
    <w:rsid w:val="001238B9"/>
    <w:rsid w:val="0013621F"/>
    <w:rsid w:val="001415F6"/>
    <w:rsid w:val="001557F1"/>
    <w:rsid w:val="001619E3"/>
    <w:rsid w:val="00166C0E"/>
    <w:rsid w:val="00173AE5"/>
    <w:rsid w:val="001769A2"/>
    <w:rsid w:val="001952AF"/>
    <w:rsid w:val="001A372E"/>
    <w:rsid w:val="001B1730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585B"/>
    <w:rsid w:val="00695AAF"/>
    <w:rsid w:val="00697F46"/>
    <w:rsid w:val="006A7942"/>
    <w:rsid w:val="006B53FC"/>
    <w:rsid w:val="006C5C17"/>
    <w:rsid w:val="006C6D24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353E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2453-AC8D-4938-84A7-BFAA4C3D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21</Pages>
  <Words>5859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294</cp:revision>
  <cp:lastPrinted>2021-03-12T08:32:00Z</cp:lastPrinted>
  <dcterms:created xsi:type="dcterms:W3CDTF">2020-05-19T05:45:00Z</dcterms:created>
  <dcterms:modified xsi:type="dcterms:W3CDTF">2021-03-12T08:49:00Z</dcterms:modified>
</cp:coreProperties>
</file>