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F5" w:rsidRPr="001A33F5" w:rsidRDefault="001A33F5" w:rsidP="001A33F5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Объявление № </w:t>
      </w:r>
      <w:r w:rsidR="00D43D99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1</w:t>
      </w:r>
      <w:r w:rsidR="00757822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  <w:lang w:val="kk-KZ"/>
        </w:rPr>
        <w:t>2</w:t>
      </w:r>
      <w:bookmarkStart w:id="0" w:name="_GoBack"/>
      <w:bookmarkEnd w:id="0"/>
      <w:r w:rsidR="00D43D99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</w:t>
      </w:r>
      <w:r w:rsidRPr="00376AC7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  <w:highlight w:val="yellow"/>
        </w:rPr>
        <w:t xml:space="preserve">от </w:t>
      </w:r>
      <w:r w:rsidR="00E85F98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  <w:highlight w:val="yellow"/>
          <w:lang w:val="kk-KZ"/>
        </w:rPr>
        <w:t>0</w:t>
      </w:r>
      <w:r w:rsidR="00BE7170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  <w:highlight w:val="yellow"/>
          <w:lang w:val="kk-KZ"/>
        </w:rPr>
        <w:t>1</w:t>
      </w:r>
      <w:r w:rsidRPr="00376AC7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  <w:highlight w:val="yellow"/>
        </w:rPr>
        <w:t>.0</w:t>
      </w:r>
      <w:r w:rsidR="00E85F98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  <w:highlight w:val="yellow"/>
          <w:lang w:val="kk-KZ"/>
        </w:rPr>
        <w:t>4</w:t>
      </w:r>
      <w:r w:rsidRPr="00376AC7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  <w:highlight w:val="yellow"/>
        </w:rPr>
        <w:t>.2019 года</w:t>
      </w:r>
    </w:p>
    <w:p w:rsidR="001A33F5" w:rsidRPr="001A33F5" w:rsidRDefault="001A33F5" w:rsidP="001A33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Государственное коммунальное предприятие на праве хозяйственного ведения «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Жамбылская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области»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акимата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 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объявляет о проведении закупа способом запроса ценовых предложений по изделиям медицинского назначения на 201</w:t>
      </w:r>
      <w:r w:rsidR="00E85F98">
        <w:rPr>
          <w:rFonts w:ascii="Times New Roman" w:eastAsia="Times New Roman" w:hAnsi="Times New Roman" w:cs="Times New Roman"/>
          <w:color w:val="5B5B5B"/>
          <w:sz w:val="18"/>
          <w:szCs w:val="18"/>
          <w:lang w:val="kk-KZ"/>
        </w:rPr>
        <w:t>9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год в соответствии с п.п.2 п.2 ст. 2 Кодекса  Республики Казахстан от 18 сентября 2009 года № 193-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  <w:lang w:val="en-US"/>
        </w:rPr>
        <w:t>IV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  <w:lang w:val="kk-KZ"/>
        </w:rPr>
        <w:t>.</w:t>
      </w:r>
    </w:p>
    <w:p w:rsidR="001A33F5" w:rsidRPr="001A33F5" w:rsidRDefault="001A33F5" w:rsidP="001A33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  <w:lang w:val="kk-KZ"/>
        </w:rPr>
        <w:t>1. 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2. Документы предоставляются согласно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«</w:t>
      </w:r>
      <w:r w:rsidRPr="001A33F5">
        <w:rPr>
          <w:rFonts w:ascii="Times New Roman" w:eastAsia="Times New Roman" w:hAnsi="Times New Roman" w:cs="Times New Roman"/>
          <w:b/>
          <w:bCs/>
          <w:sz w:val="18"/>
        </w:rPr>
        <w:t>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</w:t>
      </w:r>
      <w:r w:rsidR="00DB5956">
        <w:rPr>
          <w:rFonts w:ascii="Times New Roman" w:eastAsia="Times New Roman" w:hAnsi="Times New Roman" w:cs="Times New Roman"/>
          <w:b/>
          <w:bCs/>
          <w:sz w:val="18"/>
        </w:rPr>
        <w:t xml:space="preserve"> </w:t>
      </w:r>
      <w:r w:rsidRPr="00DB595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медицинской помощи</w:t>
      </w:r>
      <w:r w:rsidRPr="00DB5956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 </w:t>
      </w:r>
      <w:r w:rsidRPr="00DB595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и медицинской помощи в системе обязательного социального медицинского страхования» Постановление правительства РК от 30 октября 2009 года № 1729</w:t>
      </w:r>
      <w:r w:rsidRPr="00DB5956">
        <w:rPr>
          <w:rFonts w:ascii="Times New Roman" w:eastAsia="Times New Roman" w:hAnsi="Times New Roman" w:cs="Times New Roman"/>
          <w:bCs/>
          <w:color w:val="5B5B5B"/>
          <w:sz w:val="18"/>
          <w:szCs w:val="18"/>
        </w:rPr>
        <w:t>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3.Сроки поставки: по заявке Заказчика до 31.12.201</w:t>
      </w:r>
      <w:r w:rsidR="00BB2037">
        <w:rPr>
          <w:rFonts w:ascii="Times New Roman" w:eastAsia="Times New Roman" w:hAnsi="Times New Roman" w:cs="Times New Roman"/>
          <w:color w:val="5B5B5B"/>
          <w:sz w:val="18"/>
          <w:szCs w:val="18"/>
        </w:rPr>
        <w:t>9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года.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Место поставки: 040600,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Алматинская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область,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Жамбылский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район, село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Узынагаш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, улица Карасай батыра 259.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              4. Место представления (приема) документов: 040600,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Алматинская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область,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Жамбылский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район, село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Узынагаш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Жамбылская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области»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акимата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области, в кабинет провизора.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  Окончательный срок подачи ценовых</w:t>
      </w:r>
      <w:r w:rsidR="00376AC7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предложений - до 12-30 часов «</w:t>
      </w:r>
      <w:r w:rsidR="00BE7170">
        <w:rPr>
          <w:rFonts w:ascii="Times New Roman" w:eastAsia="Times New Roman" w:hAnsi="Times New Roman" w:cs="Times New Roman"/>
          <w:color w:val="5B5B5B"/>
          <w:sz w:val="18"/>
          <w:szCs w:val="18"/>
        </w:rPr>
        <w:t>8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»</w:t>
      </w:r>
      <w:r w:rsidR="00E85F98">
        <w:rPr>
          <w:rFonts w:ascii="Times New Roman" w:eastAsia="Times New Roman" w:hAnsi="Times New Roman" w:cs="Times New Roman"/>
          <w:color w:val="5B5B5B"/>
          <w:sz w:val="18"/>
          <w:szCs w:val="18"/>
          <w:lang w:val="kk-KZ"/>
        </w:rPr>
        <w:t xml:space="preserve"> апреля</w:t>
      </w:r>
      <w:r w:rsidR="00BB2037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201</w:t>
      </w:r>
      <w:r w:rsidR="00BB2037">
        <w:rPr>
          <w:rFonts w:ascii="Times New Roman" w:eastAsia="Times New Roman" w:hAnsi="Times New Roman" w:cs="Times New Roman"/>
          <w:color w:val="5B5B5B"/>
          <w:sz w:val="18"/>
          <w:szCs w:val="18"/>
        </w:rPr>
        <w:t>9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года.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 5. Дата, время и место вскрытия конвертов с ценовыми предложениями: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Конверты с ценовыми предложениями вскрываются комиссией в 14-00 часов по адресу: 040600,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Алматинская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область,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Жамбылский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район, село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Узынагаш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Жамбылская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области»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акимата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области, в кабинете провизора.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040600,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Алматинская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область,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Жамбылский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район, село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Узынагаш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Жамбылская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области»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акимата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области, со следующим содержанием: </w:t>
      </w: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Номер и дату объявления заполнить, дата вскрытия конвертов в «___» __________ 201</w:t>
      </w:r>
      <w:r w:rsidR="00BB2037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9</w:t>
      </w: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 xml:space="preserve"> года в _______ часов.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Тел. для справок: 7(72770) 2-10-82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 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Приложение № 1 к настоящему объявлению</w:t>
      </w:r>
    </w:p>
    <w:tbl>
      <w:tblPr>
        <w:tblW w:w="94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3094"/>
        <w:gridCol w:w="1080"/>
        <w:gridCol w:w="1217"/>
        <w:gridCol w:w="3540"/>
      </w:tblGrid>
      <w:tr w:rsidR="001A33F5" w:rsidRPr="001A33F5" w:rsidTr="0014403E">
        <w:trPr>
          <w:trHeight w:val="654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 </w:t>
            </w: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</w:t>
            </w:r>
          </w:p>
        </w:tc>
        <w:tc>
          <w:tcPr>
            <w:tcW w:w="3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Международные непатентованные наименования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Количество</w:t>
            </w:r>
          </w:p>
        </w:tc>
        <w:tc>
          <w:tcPr>
            <w:tcW w:w="3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Место поставки</w:t>
            </w:r>
          </w:p>
        </w:tc>
      </w:tr>
      <w:tr w:rsidR="00376AC7" w:rsidRPr="001A33F5" w:rsidTr="0014403E">
        <w:trPr>
          <w:trHeight w:val="588"/>
        </w:trPr>
        <w:tc>
          <w:tcPr>
            <w:tcW w:w="5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9801FC" w:rsidRDefault="00376AC7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9801F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E85F98" w:rsidRDefault="00E85F98" w:rsidP="00376AC7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Тест полоски 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SD- A1 C Care Test Kit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2946C1" w:rsidRDefault="00E85F98" w:rsidP="00E85F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Штука </w:t>
            </w:r>
            <w:r w:rsidR="00376AC7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AC7" w:rsidRPr="009801FC" w:rsidRDefault="00E85F98" w:rsidP="00376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3200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C7" w:rsidRPr="001A33F5" w:rsidRDefault="00376AC7" w:rsidP="00376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proofErr w:type="gramStart"/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</w:t>
            </w:r>
            <w:proofErr w:type="gramEnd"/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,ул.Карасай</w:t>
            </w:r>
            <w:proofErr w:type="spellEnd"/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</w:tbl>
    <w:p w:rsidR="001A33F5" w:rsidRPr="001A33F5" w:rsidRDefault="001A33F5" w:rsidP="001A33F5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</w:t>
      </w:r>
    </w:p>
    <w:p w:rsidR="001A33F5" w:rsidRPr="001A33F5" w:rsidRDefault="001A33F5" w:rsidP="0014403E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Приложение 2 к настоящему объявлению</w:t>
      </w:r>
    </w:p>
    <w:p w:rsidR="001A33F5" w:rsidRPr="001A33F5" w:rsidRDefault="001A33F5" w:rsidP="001A33F5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1A33F5" w:rsidRPr="001A33F5" w:rsidRDefault="001A33F5" w:rsidP="001A33F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 20. 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 xml:space="preserve">      1) наличие регистрации лекарственных средств, изделий медицинского назначения, профилактических 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lastRenderedPageBreak/>
        <w:t xml:space="preserve">(иммунобиологических, диагностических, дезинфицирующих) 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 включенных в перечень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утвержденный уполномоченным органом в области здравоохранения, (</w:t>
      </w: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)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2)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лекарственные средства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, профилактические (иммунобиологические, диагностические, дезинфицирующие)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препараты,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изделия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медицинского назначения хранятся и транспортируются в условиях, 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утвержденными уполномоченным органом в области здравоохранения;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3)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маркировка, потребительская упаковка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 уполномоченным органом в области здравоохранения;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4)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срок годности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7) срок годности вакцин на дату поставки единым дистрибьютором заказчику составляет: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 включенных в перечень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</w:p>
    <w:p w:rsidR="0014403E" w:rsidRDefault="0014403E" w:rsidP="001A33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</w:pPr>
    </w:p>
    <w:p w:rsidR="001A33F5" w:rsidRPr="001A33F5" w:rsidRDefault="001A33F5" w:rsidP="0014403E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Приложение 3 к настоящему объявлению</w:t>
      </w:r>
    </w:p>
    <w:tbl>
      <w:tblPr>
        <w:tblW w:w="0" w:type="auto"/>
        <w:tblInd w:w="1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1"/>
        <w:gridCol w:w="3679"/>
      </w:tblGrid>
      <w:tr w:rsidR="001A33F5" w:rsidRPr="001A33F5" w:rsidTr="001A33F5">
        <w:trPr>
          <w:trHeight w:val="2129"/>
        </w:trPr>
        <w:tc>
          <w:tcPr>
            <w:tcW w:w="77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Приложение 12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к приказу Министра здравоохранения и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социального развития Республики Казахстан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от 18 января 2017 года № 20</w:t>
            </w:r>
          </w:p>
        </w:tc>
      </w:tr>
      <w:tr w:rsidR="001A33F5" w:rsidRPr="001A33F5" w:rsidTr="001A33F5">
        <w:trPr>
          <w:trHeight w:val="30"/>
        </w:trPr>
        <w:tc>
          <w:tcPr>
            <w:tcW w:w="7793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Форма</w:t>
            </w:r>
          </w:p>
        </w:tc>
      </w:tr>
    </w:tbl>
    <w:p w:rsidR="001A33F5" w:rsidRPr="001A33F5" w:rsidRDefault="001A33F5" w:rsidP="001A33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Ценовое предложение потенциального поставщика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   (наименование потенциального поставщика,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   заполняется отдельно на каждый лот)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</w:t>
      </w:r>
    </w:p>
    <w:p w:rsidR="001A33F5" w:rsidRPr="001A33F5" w:rsidRDefault="001A33F5" w:rsidP="001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lastRenderedPageBreak/>
        <w:t>           Лот № _______</w:t>
      </w:r>
    </w:p>
    <w:tbl>
      <w:tblPr>
        <w:tblW w:w="0" w:type="auto"/>
        <w:tblInd w:w="1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761"/>
        <w:gridCol w:w="1999"/>
      </w:tblGrid>
      <w:tr w:rsidR="001A33F5" w:rsidRPr="001A33F5" w:rsidTr="001A33F5">
        <w:trPr>
          <w:trHeight w:val="30"/>
        </w:trPr>
        <w:tc>
          <w:tcPr>
            <w:tcW w:w="51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 п/п</w:t>
            </w:r>
          </w:p>
        </w:tc>
        <w:tc>
          <w:tcPr>
            <w:tcW w:w="6761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Содержание</w:t>
            </w:r>
          </w:p>
        </w:tc>
        <w:tc>
          <w:tcPr>
            <w:tcW w:w="1999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  <w:lang w:val="kk-KZ"/>
              </w:rPr>
              <w:t>Международные непатентованные наименования</w:t>
            </w: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3</w:t>
            </w: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1.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2.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Страна происхождения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3.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Завод-изготовитель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4.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5.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Цена ________ за единицу в ____ на условиях ________________ 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val="en-US"/>
              </w:rPr>
              <w:t>DDP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ИНКОТЕРМС 2010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(пункт назначения)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6.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Количество (объем)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7.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Общая цена, в _____ на условиях 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val="en-US"/>
              </w:rPr>
              <w:t>DDP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</w:tbl>
    <w:p w:rsidR="001A33F5" w:rsidRPr="001A33F5" w:rsidRDefault="001A33F5" w:rsidP="001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    </w:t>
      </w:r>
    </w:p>
    <w:p w:rsidR="001A33F5" w:rsidRPr="001A33F5" w:rsidRDefault="001A33F5" w:rsidP="001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______________                                          __________________________________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  Подпись, дата                                          должность, фамилия, имя, отчество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                                                              (при его наличии)</w:t>
      </w:r>
    </w:p>
    <w:p w:rsidR="001A33F5" w:rsidRPr="001A33F5" w:rsidRDefault="001A33F5" w:rsidP="001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       Печать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  (при наличии)</w:t>
      </w:r>
    </w:p>
    <w:p w:rsidR="001A33F5" w:rsidRPr="001A33F5" w:rsidRDefault="001A33F5" w:rsidP="001A33F5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</w:t>
      </w:r>
    </w:p>
    <w:p w:rsidR="001A33F5" w:rsidRPr="001A33F5" w:rsidRDefault="0014403E" w:rsidP="001A33F5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   </w:t>
      </w:r>
      <w:r w:rsidR="001A33F5"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Директор   </w:t>
      </w:r>
    </w:p>
    <w:p w:rsidR="001A33F5" w:rsidRPr="001A33F5" w:rsidRDefault="0014403E" w:rsidP="001A33F5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  </w:t>
      </w:r>
      <w:r w:rsidR="001A33F5"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ГКП на ПХВ «</w:t>
      </w:r>
      <w:proofErr w:type="spellStart"/>
      <w:r w:rsidR="001A33F5"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Жамбылская</w:t>
      </w:r>
      <w:proofErr w:type="spellEnd"/>
      <w:r w:rsidR="001A33F5"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ЦРБ»                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          </w:t>
      </w:r>
      <w:r w:rsidR="001A33F5"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</w:t>
      </w:r>
      <w:proofErr w:type="spellStart"/>
      <w:r w:rsid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Сураужанов</w:t>
      </w:r>
      <w:proofErr w:type="spellEnd"/>
      <w:r w:rsid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Д.А.</w:t>
      </w:r>
    </w:p>
    <w:p w:rsidR="00922814" w:rsidRDefault="00922814"/>
    <w:sectPr w:rsidR="00922814" w:rsidSect="00C7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3F5"/>
    <w:rsid w:val="000A3B2A"/>
    <w:rsid w:val="0014403E"/>
    <w:rsid w:val="001A33F5"/>
    <w:rsid w:val="002D5DEC"/>
    <w:rsid w:val="00376AC7"/>
    <w:rsid w:val="005A688B"/>
    <w:rsid w:val="00757822"/>
    <w:rsid w:val="00922814"/>
    <w:rsid w:val="00984F33"/>
    <w:rsid w:val="00BB2037"/>
    <w:rsid w:val="00BE7170"/>
    <w:rsid w:val="00C71ACA"/>
    <w:rsid w:val="00CA41EC"/>
    <w:rsid w:val="00D43D99"/>
    <w:rsid w:val="00DB5956"/>
    <w:rsid w:val="00E85F98"/>
    <w:rsid w:val="00F97240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947E1-3680-402E-AEB0-306F5319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1A33F5"/>
  </w:style>
  <w:style w:type="paragraph" w:styleId="a3">
    <w:name w:val="No Spacing"/>
    <w:basedOn w:val="a"/>
    <w:uiPriority w:val="1"/>
    <w:qFormat/>
    <w:rsid w:val="001A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7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14</cp:revision>
  <cp:lastPrinted>2021-09-01T04:45:00Z</cp:lastPrinted>
  <dcterms:created xsi:type="dcterms:W3CDTF">2019-03-20T09:22:00Z</dcterms:created>
  <dcterms:modified xsi:type="dcterms:W3CDTF">2021-09-01T04:46:00Z</dcterms:modified>
</cp:coreProperties>
</file>