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64" w:rsidRPr="004729F1" w:rsidRDefault="00E12364" w:rsidP="00E12364">
      <w:pPr>
        <w:spacing w:after="0"/>
        <w:jc w:val="center"/>
        <w:rPr>
          <w:rFonts w:ascii="Times New Roman" w:hAnsi="Times New Roman"/>
          <w:b/>
          <w:sz w:val="20"/>
          <w:szCs w:val="20"/>
        </w:rPr>
      </w:pPr>
      <w:r w:rsidRPr="004729F1">
        <w:rPr>
          <w:rFonts w:ascii="Times New Roman" w:hAnsi="Times New Roman"/>
          <w:b/>
          <w:sz w:val="20"/>
          <w:szCs w:val="20"/>
        </w:rPr>
        <w:t>Протокол №</w:t>
      </w:r>
      <w:r w:rsidR="00704BE9" w:rsidRPr="004729F1">
        <w:rPr>
          <w:rFonts w:ascii="Times New Roman" w:hAnsi="Times New Roman"/>
          <w:b/>
          <w:sz w:val="20"/>
          <w:szCs w:val="20"/>
        </w:rPr>
        <w:t>16</w:t>
      </w:r>
    </w:p>
    <w:p w:rsidR="00E12364" w:rsidRPr="004729F1" w:rsidRDefault="00E12364" w:rsidP="00E12364">
      <w:pPr>
        <w:spacing w:after="0"/>
        <w:jc w:val="center"/>
        <w:rPr>
          <w:rFonts w:ascii="Times New Roman" w:hAnsi="Times New Roman"/>
          <w:b/>
          <w:sz w:val="20"/>
          <w:szCs w:val="20"/>
        </w:rPr>
      </w:pPr>
      <w:r w:rsidRPr="004729F1">
        <w:rPr>
          <w:rFonts w:ascii="Times New Roman" w:hAnsi="Times New Roman"/>
          <w:b/>
          <w:sz w:val="20"/>
          <w:szCs w:val="20"/>
        </w:rPr>
        <w:t xml:space="preserve">      итогов закупа ЛС и МИ  на 2022 год   </w:t>
      </w:r>
    </w:p>
    <w:p w:rsidR="00E12364" w:rsidRPr="004729F1" w:rsidRDefault="00E12364" w:rsidP="00E12364">
      <w:pPr>
        <w:spacing w:after="0"/>
        <w:jc w:val="center"/>
        <w:rPr>
          <w:rFonts w:ascii="Times New Roman" w:hAnsi="Times New Roman"/>
          <w:b/>
          <w:sz w:val="20"/>
          <w:szCs w:val="20"/>
        </w:rPr>
      </w:pPr>
      <w:r w:rsidRPr="004729F1">
        <w:rPr>
          <w:rFonts w:ascii="Times New Roman" w:hAnsi="Times New Roman"/>
          <w:b/>
          <w:sz w:val="20"/>
          <w:szCs w:val="20"/>
        </w:rPr>
        <w:t xml:space="preserve">способом запроса ценовых предложений </w:t>
      </w:r>
    </w:p>
    <w:p w:rsidR="00E12364" w:rsidRPr="004729F1" w:rsidRDefault="00E12364" w:rsidP="00E12364">
      <w:pPr>
        <w:spacing w:after="0"/>
        <w:jc w:val="center"/>
        <w:rPr>
          <w:rFonts w:ascii="Times New Roman" w:hAnsi="Times New Roman"/>
          <w:b/>
          <w:sz w:val="20"/>
          <w:szCs w:val="20"/>
        </w:rPr>
      </w:pPr>
    </w:p>
    <w:p w:rsidR="00E12364" w:rsidRPr="004729F1" w:rsidRDefault="00E12364" w:rsidP="00E12364">
      <w:pPr>
        <w:spacing w:after="0"/>
        <w:jc w:val="center"/>
        <w:rPr>
          <w:rFonts w:ascii="Times New Roman" w:hAnsi="Times New Roman"/>
          <w:b/>
          <w:sz w:val="20"/>
          <w:szCs w:val="20"/>
        </w:rPr>
      </w:pPr>
    </w:p>
    <w:p w:rsidR="00E12364" w:rsidRPr="004729F1" w:rsidRDefault="00E12364" w:rsidP="00E12364">
      <w:pPr>
        <w:pStyle w:val="a3"/>
        <w:rPr>
          <w:rFonts w:ascii="Times New Roman" w:hAnsi="Times New Roman"/>
          <w:b/>
          <w:sz w:val="20"/>
          <w:szCs w:val="20"/>
        </w:rPr>
      </w:pPr>
      <w:r w:rsidRPr="004729F1">
        <w:rPr>
          <w:rFonts w:ascii="Times New Roman" w:hAnsi="Times New Roman"/>
          <w:b/>
          <w:sz w:val="20"/>
          <w:szCs w:val="20"/>
        </w:rPr>
        <w:t xml:space="preserve">               с.Узынагаш                                                                                                                                                                       </w:t>
      </w:r>
      <w:r w:rsidR="00704BE9" w:rsidRPr="004729F1">
        <w:rPr>
          <w:rFonts w:ascii="Times New Roman" w:hAnsi="Times New Roman"/>
          <w:b/>
          <w:sz w:val="20"/>
          <w:szCs w:val="20"/>
        </w:rPr>
        <w:t xml:space="preserve">                 «17</w:t>
      </w:r>
      <w:r w:rsidRPr="004729F1">
        <w:rPr>
          <w:rFonts w:ascii="Times New Roman" w:hAnsi="Times New Roman"/>
          <w:b/>
          <w:sz w:val="20"/>
          <w:szCs w:val="20"/>
        </w:rPr>
        <w:t xml:space="preserve">»  февраля </w:t>
      </w:r>
      <w:r w:rsidRPr="004729F1">
        <w:rPr>
          <w:rFonts w:ascii="Times New Roman" w:hAnsi="Times New Roman"/>
          <w:b/>
          <w:sz w:val="20"/>
          <w:szCs w:val="20"/>
          <w:lang w:val="kk-KZ"/>
        </w:rPr>
        <w:t xml:space="preserve">  </w:t>
      </w:r>
      <w:r w:rsidRPr="004729F1">
        <w:rPr>
          <w:rFonts w:ascii="Times New Roman" w:hAnsi="Times New Roman"/>
          <w:b/>
          <w:sz w:val="20"/>
          <w:szCs w:val="20"/>
        </w:rPr>
        <w:t xml:space="preserve"> 202</w:t>
      </w:r>
      <w:r w:rsidRPr="004729F1">
        <w:rPr>
          <w:rFonts w:ascii="Times New Roman" w:hAnsi="Times New Roman"/>
          <w:b/>
          <w:sz w:val="20"/>
          <w:szCs w:val="20"/>
          <w:lang w:val="kk-KZ"/>
        </w:rPr>
        <w:t>2</w:t>
      </w:r>
      <w:r w:rsidRPr="004729F1">
        <w:rPr>
          <w:rFonts w:ascii="Times New Roman" w:hAnsi="Times New Roman"/>
          <w:b/>
          <w:sz w:val="20"/>
          <w:szCs w:val="20"/>
        </w:rPr>
        <w:t xml:space="preserve">г.                                                                                                                                                                      </w:t>
      </w:r>
    </w:p>
    <w:p w:rsidR="00E12364" w:rsidRPr="004729F1" w:rsidRDefault="00E12364" w:rsidP="00E12364">
      <w:pPr>
        <w:spacing w:after="0"/>
        <w:rPr>
          <w:rFonts w:ascii="Times New Roman" w:hAnsi="Times New Roman"/>
          <w:b/>
          <w:sz w:val="20"/>
          <w:szCs w:val="20"/>
        </w:rPr>
      </w:pPr>
    </w:p>
    <w:p w:rsidR="00E12364" w:rsidRPr="004729F1" w:rsidRDefault="00E12364" w:rsidP="00E12364">
      <w:pPr>
        <w:pStyle w:val="a3"/>
        <w:numPr>
          <w:ilvl w:val="0"/>
          <w:numId w:val="2"/>
        </w:numPr>
        <w:ind w:left="644"/>
        <w:jc w:val="both"/>
        <w:rPr>
          <w:rFonts w:ascii="Times New Roman" w:hAnsi="Times New Roman"/>
          <w:b/>
          <w:sz w:val="20"/>
          <w:szCs w:val="20"/>
        </w:rPr>
      </w:pPr>
      <w:r w:rsidRPr="004729F1">
        <w:rPr>
          <w:rFonts w:ascii="Times New Roman" w:hAnsi="Times New Roman"/>
          <w:b/>
          <w:sz w:val="20"/>
          <w:szCs w:val="20"/>
        </w:rPr>
        <w:t xml:space="preserve">Наименование и адрес Заказчика: ГКП на ПХВ  «Жамбылская центральная районная больница»  адрес: Алматинская область, Жамбылский район, село Узынагаш, ул Жанакурлыс 48А  </w:t>
      </w:r>
    </w:p>
    <w:p w:rsidR="00E12364" w:rsidRPr="004729F1" w:rsidRDefault="00E12364" w:rsidP="00E12364">
      <w:pPr>
        <w:pStyle w:val="a3"/>
        <w:tabs>
          <w:tab w:val="left" w:pos="14742"/>
        </w:tabs>
        <w:ind w:left="644"/>
        <w:jc w:val="both"/>
        <w:rPr>
          <w:rFonts w:ascii="Times New Roman" w:hAnsi="Times New Roman"/>
          <w:b/>
          <w:sz w:val="20"/>
          <w:szCs w:val="20"/>
        </w:rPr>
      </w:pPr>
    </w:p>
    <w:p w:rsidR="00E12364" w:rsidRPr="004729F1" w:rsidRDefault="00E12364" w:rsidP="00E12364">
      <w:pPr>
        <w:pStyle w:val="a3"/>
        <w:numPr>
          <w:ilvl w:val="0"/>
          <w:numId w:val="2"/>
        </w:numPr>
        <w:jc w:val="both"/>
        <w:rPr>
          <w:rFonts w:ascii="Times New Roman" w:hAnsi="Times New Roman"/>
          <w:b/>
          <w:sz w:val="20"/>
          <w:szCs w:val="20"/>
        </w:rPr>
      </w:pPr>
      <w:r w:rsidRPr="004729F1">
        <w:rPr>
          <w:rFonts w:ascii="Times New Roman" w:hAnsi="Times New Roman"/>
          <w:b/>
          <w:sz w:val="20"/>
          <w:szCs w:val="20"/>
        </w:rPr>
        <w:t xml:space="preserve">Краткое описание и цена закупаемых товаров, торговое наименование: </w:t>
      </w:r>
    </w:p>
    <w:p w:rsidR="00E12364" w:rsidRPr="00AD2DBF" w:rsidRDefault="00E12364" w:rsidP="00E12364">
      <w:pPr>
        <w:pStyle w:val="a3"/>
        <w:jc w:val="both"/>
        <w:rPr>
          <w:rFonts w:ascii="Times New Roman" w:hAnsi="Times New Roman"/>
          <w:b/>
        </w:rPr>
      </w:pPr>
    </w:p>
    <w:tbl>
      <w:tblPr>
        <w:tblStyle w:val="ae"/>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531"/>
        <w:gridCol w:w="850"/>
        <w:gridCol w:w="709"/>
        <w:gridCol w:w="1134"/>
        <w:gridCol w:w="1559"/>
        <w:gridCol w:w="1418"/>
        <w:gridCol w:w="1276"/>
      </w:tblGrid>
      <w:tr w:rsidR="00381ACE" w:rsidRPr="00381ACE" w:rsidTr="00AB6907">
        <w:tc>
          <w:tcPr>
            <w:tcW w:w="709" w:type="dxa"/>
          </w:tcPr>
          <w:p w:rsidR="00704BE9" w:rsidRPr="00381ACE" w:rsidRDefault="00704BE9" w:rsidP="00732943">
            <w:pPr>
              <w:spacing w:after="0" w:line="240" w:lineRule="auto"/>
              <w:rPr>
                <w:b/>
                <w:bCs/>
                <w:color w:val="000000"/>
                <w:sz w:val="20"/>
                <w:szCs w:val="20"/>
                <w:lang w:eastAsia="ru-RU"/>
              </w:rPr>
            </w:pPr>
            <w:r w:rsidRPr="00381ACE">
              <w:rPr>
                <w:b/>
                <w:bCs/>
                <w:color w:val="000000"/>
                <w:sz w:val="20"/>
                <w:szCs w:val="20"/>
              </w:rPr>
              <w:t>№ лота</w:t>
            </w:r>
          </w:p>
        </w:tc>
        <w:tc>
          <w:tcPr>
            <w:tcW w:w="2977" w:type="dxa"/>
          </w:tcPr>
          <w:p w:rsidR="00704BE9" w:rsidRPr="00381ACE" w:rsidRDefault="00704BE9" w:rsidP="00732943">
            <w:pPr>
              <w:rPr>
                <w:b/>
                <w:bCs/>
                <w:color w:val="000000"/>
                <w:sz w:val="20"/>
                <w:szCs w:val="20"/>
              </w:rPr>
            </w:pPr>
            <w:r w:rsidRPr="00381ACE">
              <w:rPr>
                <w:b/>
                <w:bCs/>
                <w:color w:val="000000"/>
                <w:sz w:val="20"/>
                <w:szCs w:val="20"/>
              </w:rPr>
              <w:t>Наименование</w:t>
            </w:r>
          </w:p>
        </w:tc>
        <w:tc>
          <w:tcPr>
            <w:tcW w:w="4531" w:type="dxa"/>
          </w:tcPr>
          <w:p w:rsidR="00381ACE" w:rsidRPr="00381ACE" w:rsidRDefault="00381ACE" w:rsidP="00381ACE">
            <w:pPr>
              <w:spacing w:after="0" w:line="240" w:lineRule="auto"/>
              <w:rPr>
                <w:b/>
                <w:bCs/>
                <w:color w:val="000000"/>
                <w:sz w:val="20"/>
                <w:szCs w:val="20"/>
                <w:lang w:eastAsia="ru-RU"/>
              </w:rPr>
            </w:pPr>
            <w:r w:rsidRPr="00381ACE">
              <w:rPr>
                <w:b/>
                <w:bCs/>
                <w:color w:val="000000"/>
                <w:sz w:val="20"/>
                <w:szCs w:val="20"/>
              </w:rPr>
              <w:t xml:space="preserve">Техническая спецификация </w:t>
            </w:r>
          </w:p>
          <w:p w:rsidR="00704BE9" w:rsidRPr="00381ACE" w:rsidRDefault="00704BE9" w:rsidP="00732943">
            <w:pPr>
              <w:rPr>
                <w:b/>
                <w:bCs/>
                <w:color w:val="000000"/>
                <w:sz w:val="20"/>
                <w:szCs w:val="20"/>
              </w:rPr>
            </w:pPr>
          </w:p>
        </w:tc>
        <w:tc>
          <w:tcPr>
            <w:tcW w:w="850" w:type="dxa"/>
          </w:tcPr>
          <w:p w:rsidR="00704BE9" w:rsidRPr="00381ACE" w:rsidRDefault="00704BE9" w:rsidP="00732943">
            <w:pPr>
              <w:rPr>
                <w:b/>
                <w:bCs/>
                <w:color w:val="000000"/>
                <w:sz w:val="20"/>
                <w:szCs w:val="20"/>
              </w:rPr>
            </w:pPr>
            <w:r w:rsidRPr="00381ACE">
              <w:rPr>
                <w:b/>
                <w:bCs/>
                <w:color w:val="000000"/>
                <w:sz w:val="20"/>
                <w:szCs w:val="20"/>
              </w:rPr>
              <w:t>Ед. изм.</w:t>
            </w:r>
          </w:p>
        </w:tc>
        <w:tc>
          <w:tcPr>
            <w:tcW w:w="709" w:type="dxa"/>
          </w:tcPr>
          <w:p w:rsidR="00704BE9" w:rsidRPr="00381ACE" w:rsidRDefault="00704BE9" w:rsidP="00732943">
            <w:pPr>
              <w:rPr>
                <w:b/>
                <w:bCs/>
                <w:color w:val="000000"/>
                <w:sz w:val="20"/>
                <w:szCs w:val="20"/>
              </w:rPr>
            </w:pPr>
            <w:r w:rsidRPr="00381ACE">
              <w:rPr>
                <w:b/>
                <w:bCs/>
                <w:color w:val="000000"/>
                <w:sz w:val="20"/>
                <w:szCs w:val="20"/>
              </w:rPr>
              <w:t>Количество</w:t>
            </w:r>
          </w:p>
        </w:tc>
        <w:tc>
          <w:tcPr>
            <w:tcW w:w="1134" w:type="dxa"/>
          </w:tcPr>
          <w:p w:rsidR="00704BE9" w:rsidRPr="00381ACE" w:rsidRDefault="00704BE9" w:rsidP="00732943">
            <w:pPr>
              <w:rPr>
                <w:b/>
                <w:bCs/>
                <w:color w:val="000000"/>
                <w:sz w:val="20"/>
                <w:szCs w:val="20"/>
              </w:rPr>
            </w:pPr>
            <w:r w:rsidRPr="00381ACE">
              <w:rPr>
                <w:b/>
                <w:bCs/>
                <w:color w:val="000000"/>
                <w:sz w:val="20"/>
                <w:szCs w:val="20"/>
              </w:rPr>
              <w:t>Цена за ед. в тенге</w:t>
            </w:r>
          </w:p>
        </w:tc>
        <w:tc>
          <w:tcPr>
            <w:tcW w:w="1559" w:type="dxa"/>
          </w:tcPr>
          <w:p w:rsidR="00704BE9" w:rsidRPr="00381ACE" w:rsidRDefault="00704BE9" w:rsidP="00732943">
            <w:pPr>
              <w:rPr>
                <w:b/>
                <w:bCs/>
                <w:color w:val="000000"/>
                <w:sz w:val="20"/>
                <w:szCs w:val="20"/>
              </w:rPr>
            </w:pPr>
            <w:r w:rsidRPr="00381ACE">
              <w:rPr>
                <w:b/>
                <w:bCs/>
                <w:color w:val="000000"/>
                <w:sz w:val="20"/>
                <w:szCs w:val="20"/>
              </w:rPr>
              <w:t>Сумма в тенге</w:t>
            </w:r>
          </w:p>
        </w:tc>
        <w:tc>
          <w:tcPr>
            <w:tcW w:w="1418" w:type="dxa"/>
          </w:tcPr>
          <w:p w:rsidR="00704BE9" w:rsidRPr="00381ACE" w:rsidRDefault="00704BE9" w:rsidP="00732943">
            <w:pPr>
              <w:spacing w:after="0" w:line="240" w:lineRule="auto"/>
              <w:rPr>
                <w:rFonts w:ascii="Times New Roman" w:eastAsia="Times New Roman" w:hAnsi="Times New Roman"/>
                <w:b/>
                <w:bCs/>
                <w:color w:val="000000"/>
                <w:sz w:val="20"/>
                <w:szCs w:val="20"/>
                <w:lang w:eastAsia="ru-RU"/>
              </w:rPr>
            </w:pPr>
            <w:r w:rsidRPr="00381ACE">
              <w:rPr>
                <w:rFonts w:ascii="Times New Roman" w:eastAsia="Times New Roman" w:hAnsi="Times New Roman"/>
                <w:b/>
                <w:bCs/>
                <w:color w:val="000000"/>
                <w:sz w:val="20"/>
                <w:szCs w:val="20"/>
                <w:lang w:eastAsia="ru-RU"/>
              </w:rPr>
              <w:t>Победитель</w:t>
            </w:r>
          </w:p>
        </w:tc>
        <w:tc>
          <w:tcPr>
            <w:tcW w:w="1276" w:type="dxa"/>
          </w:tcPr>
          <w:p w:rsidR="00704BE9" w:rsidRPr="00381ACE" w:rsidRDefault="00704BE9" w:rsidP="00732943">
            <w:pPr>
              <w:spacing w:after="0" w:line="240" w:lineRule="auto"/>
              <w:rPr>
                <w:rFonts w:ascii="Times New Roman" w:eastAsia="Times New Roman" w:hAnsi="Times New Roman"/>
                <w:b/>
                <w:bCs/>
                <w:color w:val="000000"/>
                <w:sz w:val="20"/>
                <w:szCs w:val="20"/>
                <w:lang w:eastAsia="ru-RU"/>
              </w:rPr>
            </w:pPr>
            <w:r w:rsidRPr="00381ACE">
              <w:rPr>
                <w:rFonts w:ascii="Times New Roman" w:eastAsia="Times New Roman" w:hAnsi="Times New Roman"/>
                <w:b/>
                <w:bCs/>
                <w:color w:val="000000"/>
                <w:sz w:val="20"/>
                <w:szCs w:val="20"/>
                <w:lang w:eastAsia="ru-RU"/>
              </w:rPr>
              <w:t>Цена</w:t>
            </w:r>
          </w:p>
        </w:tc>
      </w:tr>
      <w:tr w:rsidR="00704BE9" w:rsidRPr="00381ACE" w:rsidTr="00AB6907">
        <w:tc>
          <w:tcPr>
            <w:tcW w:w="709" w:type="dxa"/>
          </w:tcPr>
          <w:p w:rsidR="00704BE9" w:rsidRPr="00381ACE" w:rsidRDefault="00704BE9" w:rsidP="00704BE9">
            <w:pPr>
              <w:spacing w:after="0" w:line="240" w:lineRule="auto"/>
              <w:rPr>
                <w:b/>
                <w:bCs/>
                <w:color w:val="000000"/>
                <w:sz w:val="20"/>
                <w:szCs w:val="20"/>
              </w:rPr>
            </w:pPr>
            <w:r w:rsidRPr="00381ACE">
              <w:rPr>
                <w:b/>
                <w:bCs/>
                <w:color w:val="000000"/>
                <w:sz w:val="20"/>
                <w:szCs w:val="20"/>
              </w:rPr>
              <w:t>1</w:t>
            </w:r>
          </w:p>
        </w:tc>
        <w:tc>
          <w:tcPr>
            <w:tcW w:w="2977" w:type="dxa"/>
          </w:tcPr>
          <w:p w:rsidR="00704BE9" w:rsidRPr="00381ACE" w:rsidRDefault="00704BE9" w:rsidP="00704BE9">
            <w:pPr>
              <w:spacing w:after="0" w:line="240" w:lineRule="auto"/>
              <w:rPr>
                <w:rFonts w:ascii="Times New Roman" w:hAnsi="Times New Roman"/>
                <w:color w:val="000000"/>
                <w:sz w:val="20"/>
                <w:szCs w:val="20"/>
                <w:lang w:eastAsia="ru-RU"/>
              </w:rPr>
            </w:pPr>
            <w:r w:rsidRPr="00381ACE">
              <w:rPr>
                <w:rFonts w:ascii="Times New Roman" w:hAnsi="Times New Roman"/>
                <w:color w:val="000000"/>
                <w:sz w:val="20"/>
                <w:szCs w:val="20"/>
              </w:rPr>
              <w:t>Аланинаминотрансфераза (4х35+2х18)  ALT 0102, арт:105-000814-00, Mindray</w:t>
            </w:r>
          </w:p>
        </w:tc>
        <w:tc>
          <w:tcPr>
            <w:tcW w:w="4531"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Набор для определения Аланинаминотрансферазы в сыворотке крови на биохимических анализаторах Mindray BS-200Е закрытого типа без произвольных методик. R1-4x35ml, R2-2x18ml в оригинальных флаконах. *(АЛТ) (Кинетический, УФ Метод) 600 опр 4х35 +2х18 Набор должен быть маркирован специальным штриховым кодом совместимым со считывателем для закрытой системы.</w:t>
            </w:r>
          </w:p>
        </w:tc>
        <w:tc>
          <w:tcPr>
            <w:tcW w:w="850"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17 900</w:t>
            </w:r>
          </w:p>
        </w:tc>
        <w:tc>
          <w:tcPr>
            <w:tcW w:w="155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 xml:space="preserve"> 358 000,00   </w:t>
            </w:r>
          </w:p>
        </w:tc>
        <w:tc>
          <w:tcPr>
            <w:tcW w:w="1418" w:type="dxa"/>
          </w:tcPr>
          <w:p w:rsidR="00704BE9" w:rsidRPr="00381ACE" w:rsidRDefault="00245EB2" w:rsidP="00245EB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ИП «Жайлаубай </w:t>
            </w:r>
            <w:r>
              <w:rPr>
                <w:rFonts w:ascii="Times New Roman" w:eastAsia="Times New Roman" w:hAnsi="Times New Roman"/>
                <w:b/>
                <w:bCs/>
                <w:color w:val="000000"/>
                <w:sz w:val="20"/>
                <w:szCs w:val="20"/>
                <w:lang w:val="kk-KZ" w:eastAsia="ru-RU"/>
              </w:rPr>
              <w:t>Қанат Садықұлы</w:t>
            </w:r>
            <w:r>
              <w:rPr>
                <w:rFonts w:ascii="Times New Roman" w:eastAsia="Times New Roman" w:hAnsi="Times New Roman"/>
                <w:b/>
                <w:bCs/>
                <w:color w:val="000000"/>
                <w:sz w:val="20"/>
                <w:szCs w:val="20"/>
                <w:lang w:eastAsia="ru-RU"/>
              </w:rPr>
              <w:t>»</w:t>
            </w:r>
          </w:p>
        </w:tc>
        <w:tc>
          <w:tcPr>
            <w:tcW w:w="1276" w:type="dxa"/>
          </w:tcPr>
          <w:p w:rsidR="00704BE9" w:rsidRPr="00381ACE" w:rsidRDefault="008C68AB"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17800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Альфа-Амилаза (AMY) (1*38ml+1*10ml) арт: 105-000847-00,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Набор для определения альфа-амилазы в сыворотке крови биохимических анализаторах Mindray BS-200Е закрытого типа без произвольных методик. R1-1x38ml, R2-1х10 в оригинальных флаконах. *(AMY) (Кинетический, УФ метод) 155 опр. 1х38 +1х10. Набор должен быть маркирован специальным штриховым кодом совместимым со считывателем для закрытой системы.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27 300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546 000,00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381AC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27200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Аспартатаминотрансфераза (АСТ) (4*35+2*18) арт: 105-000815-00,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Набор для определения Аспартатаминотрансферазы в сыворотке крови на биохимических анализаторах Mindray BS-200Е закрытого типа без произвольных методик. R1-4x35ml, R2-2x18ml в оригинальных флаконах. Набор должен быть маркирован специальным </w:t>
            </w:r>
            <w:r w:rsidRPr="00381ACE">
              <w:rPr>
                <w:rFonts w:ascii="Times New Roman" w:hAnsi="Times New Roman"/>
                <w:color w:val="000000"/>
                <w:sz w:val="20"/>
                <w:szCs w:val="20"/>
              </w:rPr>
              <w:lastRenderedPageBreak/>
              <w:t xml:space="preserve">штриховым кодом совместимым со считывателем для закрытой системы.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17 900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358 000,00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381AC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17800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4</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Глюкоза (4*40ML+2*20ML) GLU0102, арт: 105-000849-00 Mindray  GLU</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Набор для определения Глюкозы в сыворотке на биохимических анализаторах Mindray BS-200Е закрытого типа без произвольных методик. R1-4x40ml, R2-2x20ml в оригинальных флаконах. *Glu-GodPap (Глюкозидазный метод) 560 опр 4х40 +2х20 Набор должен быть маркирован специальным штриховым кодом совместимым со считывателем для закрытой системы.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14 800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296 000,00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381AC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14700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5</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Железо (Fe) (C and Q) (2×40мл+1×16мл) артикул: 105-001583-00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FE.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Контейнера должны быть снабжены специальным штрих-кодом совместимым со встроенным сканером анализатора. Автоматический  биохимический анализатор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35 950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359 500,00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35850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6</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Кальций (Ca) (4*40ml) арт: 105-000825-00,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Кальций (Ca) (4*40ml) арт: 105-000825-00, Mindray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13 900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27 800,00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13800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7</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Креатинин с саркозиноксидазой (R1: 2х27мл + R2:1х18мл) CREA-S арт.: 105-004614-00 Mindray </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CREA-S. Метод: Саркозиноксидазный. Объем рабочего раствора  250мл. Реагенты расфасованы в одноразовые оригинальные контейнера R1 и R2, для предотвращения контаминации и не требуется </w:t>
            </w:r>
            <w:r w:rsidRPr="00381ACE">
              <w:rPr>
                <w:rFonts w:ascii="Times New Roman" w:hAnsi="Times New Roman"/>
                <w:color w:val="000000"/>
                <w:sz w:val="20"/>
                <w:szCs w:val="20"/>
              </w:rPr>
              <w:lastRenderedPageBreak/>
              <w:t xml:space="preserve">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30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22 900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687 000,00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22800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8</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Магний (Mg) (4*40ml) артикул: 105-000834-00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Однокомпонентный набор реагентов для определения MG. Реагент расфасован в одноразовый оригинальный контейнер R1 (4флакона по 40мл), для предотвращения контаминации и не требуется переливания в дополнительный картридж. Контейнер полностью адаптирован для реагентной карусели анализатора. Контейнер снабжен специальным штрих-кодом совместимым со встроенным сканером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20 600,00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9</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Мочевина UREA (4х35мл+2х18мл) арт: 105-000824-00,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BUN/UREA. Объем рабочего раствора не менее 176мл.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14 900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298 000,00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14800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10</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Общий белок (4*40ML)  (ТР)   TP0102, арт: 105-000823-00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Однокомпонентный набор реагентов для определения TP.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w:t>
            </w:r>
            <w:r w:rsidRPr="00381ACE">
              <w:rPr>
                <w:rFonts w:ascii="Times New Roman" w:hAnsi="Times New Roman"/>
                <w:color w:val="000000"/>
                <w:sz w:val="20"/>
                <w:szCs w:val="20"/>
              </w:rPr>
              <w:lastRenderedPageBreak/>
              <w:t xml:space="preserve">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10 200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204 000,00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10100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11</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Билирубин общий (4*35ml+2*18ml) (Bil Т) TBI0202, арт: 105-000826-00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TBIL/VOX. Объем рабочего раствора 176мл.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25</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26 600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665 000,00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12</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Билирубин прямой (4*35ml+2*18ml) (Bil D) DBI0202, арт: 105-000827-00,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DBIL/VOX. Объем рабочего раствора 176мл.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26 600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266 000,00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13</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Общий холестерин (ТС) (4х40мл) арт: 105-000820-00,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Однокомпонентный набор реагентов для определения CHOL/TC.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w:t>
            </w:r>
            <w:r w:rsidRPr="00381ACE">
              <w:rPr>
                <w:rFonts w:ascii="Times New Roman" w:hAnsi="Times New Roman"/>
                <w:color w:val="000000"/>
                <w:sz w:val="20"/>
                <w:szCs w:val="20"/>
              </w:rPr>
              <w:lastRenderedPageBreak/>
              <w:t xml:space="preserve">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412 000,00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14</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Триглицериды (4*40ml)  (TG) TG0102, арт: 105-000821-00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Однокомпонентный набор реагентов для определения TG.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6</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40 950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245 700,00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40850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15</w:t>
            </w:r>
          </w:p>
        </w:tc>
        <w:tc>
          <w:tcPr>
            <w:tcW w:w="2977" w:type="dxa"/>
          </w:tcPr>
          <w:p w:rsidR="00245EB2" w:rsidRPr="00381ACE" w:rsidRDefault="00245EB2" w:rsidP="00245EB2">
            <w:pPr>
              <w:rPr>
                <w:rFonts w:ascii="Times New Roman" w:hAnsi="Times New Roman"/>
                <w:color w:val="000000"/>
                <w:sz w:val="20"/>
                <w:szCs w:val="20"/>
                <w:lang w:val="en-US"/>
              </w:rPr>
            </w:pPr>
            <w:r w:rsidRPr="00381ACE">
              <w:rPr>
                <w:rFonts w:ascii="Times New Roman" w:hAnsi="Times New Roman"/>
                <w:color w:val="000000"/>
                <w:sz w:val="20"/>
                <w:szCs w:val="20"/>
              </w:rPr>
              <w:t>Мультикалибратор</w:t>
            </w:r>
            <w:r w:rsidRPr="00381ACE">
              <w:rPr>
                <w:rFonts w:ascii="Times New Roman" w:hAnsi="Times New Roman"/>
                <w:color w:val="000000"/>
                <w:sz w:val="20"/>
                <w:szCs w:val="20"/>
                <w:lang w:val="en-US"/>
              </w:rPr>
              <w:t xml:space="preserve"> (10</w:t>
            </w:r>
            <w:r w:rsidRPr="00381ACE">
              <w:rPr>
                <w:rFonts w:ascii="Times New Roman" w:hAnsi="Times New Roman"/>
                <w:color w:val="000000"/>
                <w:sz w:val="20"/>
                <w:szCs w:val="20"/>
              </w:rPr>
              <w:t>х</w:t>
            </w:r>
            <w:r w:rsidRPr="00381ACE">
              <w:rPr>
                <w:rFonts w:ascii="Times New Roman" w:hAnsi="Times New Roman"/>
                <w:color w:val="000000"/>
                <w:sz w:val="20"/>
                <w:szCs w:val="20"/>
                <w:lang w:val="en-US"/>
              </w:rPr>
              <w:t xml:space="preserve">3 ml), </w:t>
            </w:r>
            <w:r w:rsidRPr="00381ACE">
              <w:rPr>
                <w:rFonts w:ascii="Times New Roman" w:hAnsi="Times New Roman"/>
                <w:color w:val="000000"/>
                <w:sz w:val="20"/>
                <w:szCs w:val="20"/>
              </w:rPr>
              <w:t>арт</w:t>
            </w:r>
            <w:r w:rsidRPr="00381ACE">
              <w:rPr>
                <w:rFonts w:ascii="Times New Roman" w:hAnsi="Times New Roman"/>
                <w:color w:val="000000"/>
                <w:sz w:val="20"/>
                <w:szCs w:val="20"/>
                <w:lang w:val="en-US"/>
              </w:rPr>
              <w:t>: 105-001144-00 Multi Sera Calibrator  Mindray (</w:t>
            </w:r>
            <w:r w:rsidRPr="00381ACE">
              <w:rPr>
                <w:rFonts w:ascii="Times New Roman" w:hAnsi="Times New Roman"/>
                <w:color w:val="000000"/>
                <w:sz w:val="20"/>
                <w:szCs w:val="20"/>
              </w:rPr>
              <w:t>набор</w:t>
            </w:r>
            <w:r w:rsidRPr="00381ACE">
              <w:rPr>
                <w:rFonts w:ascii="Times New Roman" w:hAnsi="Times New Roman"/>
                <w:color w:val="000000"/>
                <w:sz w:val="20"/>
                <w:szCs w:val="20"/>
                <w:lang w:val="en-US"/>
              </w:rPr>
              <w:t>)</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Одноуровневый мультикалибратор для однокомпонентных и двухкомпонентных тестов. Лиофильно высушенная сыворотка с аттестованными значениями аналитов для калибровки тестов: GOT/ALT, GOT/AST, ALB, AMS, GGT, GLU-GodPap, FE, CREA-J, LDH, MG, BUN/UREA, TP, TBIL/VOX, DBIL/VOX, CHOL/TC, TG, ALP, UA. При разведении лиофильной сыворотки, объем готового калибратора 30мл. Набор мультикалибратора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6</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118 600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711 600,00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118500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16</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С-реактивный белок (СРБ) (Метод нефелометрии) 1*40ML +1*10ML, арт:105-000841-00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С-реактивный белок. Реагенты расфасованы в одноразовые оригинальные контейнера R1 (1 флакона по 40 мл) и R2 (1 флакона по 10 мл),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Контейнера должны быть снабжены специальным штрих-кодом </w:t>
            </w:r>
            <w:r w:rsidRPr="00381ACE">
              <w:rPr>
                <w:rFonts w:ascii="Times New Roman" w:hAnsi="Times New Roman"/>
                <w:color w:val="000000"/>
                <w:sz w:val="20"/>
                <w:szCs w:val="20"/>
              </w:rPr>
              <w:lastRenderedPageBreak/>
              <w:t>совместимым со встроенным сканером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15</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41 400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621 000,00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41300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17</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Калибратор специфических белков, 5×1мл (C3,C4,CRP, IgA,IgG,IgM, С реактивный белок) Mindray </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Калибратор для однокомпонентных и двухкомпонентных тестов. Лиофильно высушенная сыворотка с аттестованными значениями аналитов для калибровки тестов: C3,C4,CRP, IgA,IgG,IgM, С реактивный белок. Калибраторы расфасованы в одноразовые оригинальные контейнера 1 флакон по 5мл. Набор мультикалибратора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138 700</w:t>
            </w:r>
          </w:p>
        </w:tc>
        <w:tc>
          <w:tcPr>
            <w:tcW w:w="1559"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    554 800,00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138600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18</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Холестерин липопротеинов высокой плотности (ЛПВП-холестерин) 1*40 +1*14 </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Двухкомпонентный набор реагентов для определения ЛПВП. Реагенты расфасованы в одноразовые оригинальные контейнера R1 (1 флакона по 40 мл) и R2 (1 флакона по 14 мл),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Контейнера снабжены специальным штрих-кодом совместимым со встроенным сканером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12</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50 800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609 600,00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50700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19</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Холестерин липопротеинов низкой плотности (ЛПНП-холестирин) 1*40 +1*14 </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Двухкомпонентный набор реагентов для определения ЛПНП. Реагенты расфасованы в одноразовые оригинальные контейнера R1 (1 флакона по 40 мл) и R2 (1 флакона по 14 мл),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Контейнера снабжены специальным штрих-кодом совместимым со встроенным сканером анализатора.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12</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57 800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693 600,00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57700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lastRenderedPageBreak/>
              <w:t>20</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Калибровочный стандарт для липидов (HDLC,LDLC)арт.105-001128-00,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Лиофильно высушенная сыворотка с аттестованными значениями аналитов для калибровки тестов: АроА1, АроВ, HDL-C, LDL-C, определяемых методом прямой фотометрии без осаждения. Реагент расфасован в одноразовые флаконы R1(5 флакона по 1мл)</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103 500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414 000,00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103400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21</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Набор Преальбумин/Prealbumin (1х40+1х15) арт: 105-000845-00</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Преальбумина. Объем рабочего раствора 55мл.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74 600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298 400,00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74500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22</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Калибровочный стандарт для преальбумина (PA)(3*1мл) арт.105-001130-00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Калибратор для однокомпонентных и двухкомпонентных тестов.. Калибраторы расфасованы в одноразовые оригинальные контейнера 3 флакон по 1мл. Набор Калибровочный стандарт для преальбумина (PA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103 500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414 000,00   </w:t>
            </w:r>
          </w:p>
        </w:tc>
        <w:tc>
          <w:tcPr>
            <w:tcW w:w="1418" w:type="dxa"/>
          </w:tcPr>
          <w:p w:rsidR="00245EB2" w:rsidRDefault="00245EB2" w:rsidP="00245EB2">
            <w:pPr>
              <w:jc w:val="center"/>
            </w:pPr>
            <w:r w:rsidRPr="007A667B">
              <w:rPr>
                <w:rFonts w:ascii="Times New Roman" w:eastAsia="Times New Roman" w:hAnsi="Times New Roman"/>
                <w:b/>
                <w:bCs/>
                <w:color w:val="000000"/>
                <w:sz w:val="20"/>
                <w:szCs w:val="20"/>
                <w:lang w:eastAsia="ru-RU"/>
              </w:rPr>
              <w:t xml:space="preserve">ИП «Жайлаубай </w:t>
            </w:r>
            <w:r w:rsidRPr="007A667B">
              <w:rPr>
                <w:rFonts w:ascii="Times New Roman" w:eastAsia="Times New Roman" w:hAnsi="Times New Roman"/>
                <w:b/>
                <w:bCs/>
                <w:color w:val="000000"/>
                <w:sz w:val="20"/>
                <w:szCs w:val="20"/>
                <w:lang w:val="kk-KZ" w:eastAsia="ru-RU"/>
              </w:rPr>
              <w:t>Қанат Садықұлы</w:t>
            </w:r>
            <w:r w:rsidRPr="007A667B">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103400</w:t>
            </w:r>
          </w:p>
        </w:tc>
      </w:tr>
      <w:tr w:rsidR="00704BE9" w:rsidRPr="00381ACE" w:rsidTr="00AB6907">
        <w:tc>
          <w:tcPr>
            <w:tcW w:w="709" w:type="dxa"/>
          </w:tcPr>
          <w:p w:rsidR="00704BE9" w:rsidRPr="00381ACE" w:rsidRDefault="00704BE9" w:rsidP="00704BE9">
            <w:pPr>
              <w:spacing w:after="0" w:line="240" w:lineRule="auto"/>
              <w:rPr>
                <w:b/>
                <w:bCs/>
                <w:color w:val="000000"/>
                <w:sz w:val="20"/>
                <w:szCs w:val="20"/>
              </w:rPr>
            </w:pPr>
            <w:r w:rsidRPr="00381ACE">
              <w:rPr>
                <w:b/>
                <w:bCs/>
                <w:color w:val="000000"/>
                <w:sz w:val="20"/>
                <w:szCs w:val="20"/>
              </w:rPr>
              <w:t>23</w:t>
            </w:r>
          </w:p>
        </w:tc>
        <w:tc>
          <w:tcPr>
            <w:tcW w:w="2977"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Набор Липопротеин (а) (2х32+1х8)  арт.105-000846-00</w:t>
            </w:r>
          </w:p>
        </w:tc>
        <w:tc>
          <w:tcPr>
            <w:tcW w:w="4531"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Липопротеина (а) Объем рабочего раствора 72мл.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w:t>
            </w:r>
          </w:p>
        </w:tc>
        <w:tc>
          <w:tcPr>
            <w:tcW w:w="850"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12</w:t>
            </w:r>
          </w:p>
        </w:tc>
        <w:tc>
          <w:tcPr>
            <w:tcW w:w="1134"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222 100</w:t>
            </w:r>
          </w:p>
        </w:tc>
        <w:tc>
          <w:tcPr>
            <w:tcW w:w="1559"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 xml:space="preserve">    2 665 200,00   </w:t>
            </w:r>
          </w:p>
        </w:tc>
        <w:tc>
          <w:tcPr>
            <w:tcW w:w="1418" w:type="dxa"/>
          </w:tcPr>
          <w:p w:rsidR="00704BE9" w:rsidRPr="00716BBF" w:rsidRDefault="00716BBF" w:rsidP="00716BBF">
            <w:pPr>
              <w:jc w:val="center"/>
              <w:rPr>
                <w:rFonts w:ascii="Times New Roman" w:eastAsia="Times New Roman" w:hAnsi="Times New Roman"/>
                <w:b/>
                <w:bCs/>
                <w:color w:val="000000"/>
                <w:sz w:val="20"/>
                <w:szCs w:val="20"/>
                <w:lang w:val="kk-KZ" w:eastAsia="ru-RU"/>
              </w:rPr>
            </w:pPr>
            <w:r>
              <w:rPr>
                <w:rFonts w:ascii="Times New Roman" w:eastAsia="Times New Roman" w:hAnsi="Times New Roman"/>
                <w:b/>
                <w:bCs/>
                <w:color w:val="000000"/>
                <w:sz w:val="20"/>
                <w:szCs w:val="20"/>
                <w:lang w:val="kk-KZ" w:eastAsia="ru-RU"/>
              </w:rPr>
              <w:t>нет</w:t>
            </w:r>
          </w:p>
        </w:tc>
        <w:tc>
          <w:tcPr>
            <w:tcW w:w="1276" w:type="dxa"/>
          </w:tcPr>
          <w:p w:rsidR="00704BE9" w:rsidRPr="008C68AB" w:rsidRDefault="00704BE9" w:rsidP="003305B1">
            <w:pPr>
              <w:spacing w:after="0" w:line="240" w:lineRule="auto"/>
              <w:jc w:val="center"/>
              <w:rPr>
                <w:rFonts w:ascii="Times New Roman" w:eastAsia="Times New Roman" w:hAnsi="Times New Roman"/>
                <w:b/>
                <w:bCs/>
                <w:color w:val="000000"/>
                <w:sz w:val="20"/>
                <w:szCs w:val="20"/>
                <w:lang w:eastAsia="ru-RU"/>
              </w:rPr>
            </w:pPr>
          </w:p>
        </w:tc>
      </w:tr>
      <w:tr w:rsidR="00704BE9" w:rsidRPr="00381ACE" w:rsidTr="00AB6907">
        <w:tc>
          <w:tcPr>
            <w:tcW w:w="709" w:type="dxa"/>
          </w:tcPr>
          <w:p w:rsidR="00704BE9" w:rsidRPr="00381ACE" w:rsidRDefault="00704BE9" w:rsidP="00704BE9">
            <w:pPr>
              <w:spacing w:after="0" w:line="240" w:lineRule="auto"/>
              <w:rPr>
                <w:b/>
                <w:bCs/>
                <w:color w:val="000000"/>
                <w:sz w:val="20"/>
                <w:szCs w:val="20"/>
              </w:rPr>
            </w:pPr>
            <w:r w:rsidRPr="00381ACE">
              <w:rPr>
                <w:b/>
                <w:bCs/>
                <w:color w:val="000000"/>
                <w:sz w:val="20"/>
                <w:szCs w:val="20"/>
              </w:rPr>
              <w:lastRenderedPageBreak/>
              <w:t>24</w:t>
            </w:r>
          </w:p>
        </w:tc>
        <w:tc>
          <w:tcPr>
            <w:tcW w:w="2977"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Калибровочный стандарт для Липопротеина (а) (LPA)  арт.105-001131-00</w:t>
            </w:r>
          </w:p>
        </w:tc>
        <w:tc>
          <w:tcPr>
            <w:tcW w:w="4531"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 xml:space="preserve">Раствор с известным содержанием липопротеина (а) для калибровки 3×1  </w:t>
            </w:r>
          </w:p>
        </w:tc>
        <w:tc>
          <w:tcPr>
            <w:tcW w:w="850"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6</w:t>
            </w:r>
          </w:p>
        </w:tc>
        <w:tc>
          <w:tcPr>
            <w:tcW w:w="1134"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203 950</w:t>
            </w:r>
          </w:p>
        </w:tc>
        <w:tc>
          <w:tcPr>
            <w:tcW w:w="155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 xml:space="preserve">     1 223 700,00   </w:t>
            </w:r>
          </w:p>
        </w:tc>
        <w:tc>
          <w:tcPr>
            <w:tcW w:w="1418" w:type="dxa"/>
          </w:tcPr>
          <w:p w:rsidR="00704BE9" w:rsidRPr="00716BBF" w:rsidRDefault="00716BBF" w:rsidP="00716BBF">
            <w:pPr>
              <w:jc w:val="center"/>
              <w:rPr>
                <w:rFonts w:ascii="Times New Roman" w:eastAsia="Times New Roman" w:hAnsi="Times New Roman"/>
                <w:b/>
                <w:bCs/>
                <w:color w:val="000000"/>
                <w:sz w:val="20"/>
                <w:szCs w:val="20"/>
                <w:lang w:val="kk-KZ" w:eastAsia="ru-RU"/>
              </w:rPr>
            </w:pPr>
            <w:r>
              <w:rPr>
                <w:rFonts w:ascii="Times New Roman" w:eastAsia="Times New Roman" w:hAnsi="Times New Roman"/>
                <w:b/>
                <w:bCs/>
                <w:color w:val="000000"/>
                <w:sz w:val="20"/>
                <w:szCs w:val="20"/>
                <w:lang w:val="kk-KZ" w:eastAsia="ru-RU"/>
              </w:rPr>
              <w:t>нет</w:t>
            </w:r>
          </w:p>
        </w:tc>
        <w:tc>
          <w:tcPr>
            <w:tcW w:w="1276" w:type="dxa"/>
          </w:tcPr>
          <w:p w:rsidR="00704BE9" w:rsidRPr="00381ACE" w:rsidRDefault="00704BE9" w:rsidP="003305B1">
            <w:pPr>
              <w:spacing w:after="0" w:line="240" w:lineRule="auto"/>
              <w:jc w:val="center"/>
              <w:rPr>
                <w:rFonts w:ascii="Times New Roman" w:eastAsia="Times New Roman" w:hAnsi="Times New Roman"/>
                <w:b/>
                <w:bCs/>
                <w:color w:val="000000"/>
                <w:sz w:val="20"/>
                <w:szCs w:val="20"/>
                <w:lang w:val="en-US" w:eastAsia="ru-RU"/>
              </w:rPr>
            </w:pPr>
          </w:p>
        </w:tc>
      </w:tr>
      <w:tr w:rsidR="00704BE9" w:rsidRPr="00381ACE" w:rsidTr="00AB6907">
        <w:tc>
          <w:tcPr>
            <w:tcW w:w="709" w:type="dxa"/>
          </w:tcPr>
          <w:p w:rsidR="00704BE9" w:rsidRPr="00381ACE" w:rsidRDefault="00704BE9" w:rsidP="00704BE9">
            <w:pPr>
              <w:spacing w:after="0" w:line="240" w:lineRule="auto"/>
              <w:rPr>
                <w:b/>
                <w:bCs/>
                <w:color w:val="000000"/>
                <w:sz w:val="20"/>
                <w:szCs w:val="20"/>
              </w:rPr>
            </w:pPr>
            <w:r w:rsidRPr="00381ACE">
              <w:rPr>
                <w:b/>
                <w:bCs/>
                <w:color w:val="000000"/>
                <w:sz w:val="20"/>
                <w:szCs w:val="20"/>
              </w:rPr>
              <w:t>25</w:t>
            </w:r>
          </w:p>
        </w:tc>
        <w:tc>
          <w:tcPr>
            <w:tcW w:w="2977"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Контрольный раствор для липопротеина (а), (N и P) (LPA)  арт.105-001143-00</w:t>
            </w:r>
          </w:p>
        </w:tc>
        <w:tc>
          <w:tcPr>
            <w:tcW w:w="4531" w:type="dxa"/>
          </w:tcPr>
          <w:p w:rsidR="00704BE9" w:rsidRPr="00381ACE" w:rsidRDefault="00704BE9" w:rsidP="00704BE9">
            <w:pPr>
              <w:rPr>
                <w:rFonts w:ascii="Times New Roman" w:hAnsi="Times New Roman"/>
                <w:color w:val="000000"/>
                <w:sz w:val="20"/>
                <w:szCs w:val="20"/>
              </w:rPr>
            </w:pPr>
            <w:r w:rsidRPr="00381ACE">
              <w:rPr>
                <w:rFonts w:ascii="Times New Roman" w:hAnsi="Times New Roman"/>
                <w:color w:val="000000"/>
                <w:sz w:val="20"/>
                <w:szCs w:val="20"/>
              </w:rPr>
              <w:t xml:space="preserve">Лиофилизированная сыворотка с известным содержанием липопротеина (а) для проведения контроля качества биохимического анализатора. Набор содержит два уровня контроля :(N)2×1   +(P)2×1  </w:t>
            </w:r>
          </w:p>
        </w:tc>
        <w:tc>
          <w:tcPr>
            <w:tcW w:w="850"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6</w:t>
            </w:r>
          </w:p>
        </w:tc>
        <w:tc>
          <w:tcPr>
            <w:tcW w:w="1134"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193 900</w:t>
            </w:r>
          </w:p>
        </w:tc>
        <w:tc>
          <w:tcPr>
            <w:tcW w:w="1559"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 xml:space="preserve">   1 163 400,00   </w:t>
            </w:r>
          </w:p>
        </w:tc>
        <w:tc>
          <w:tcPr>
            <w:tcW w:w="1418" w:type="dxa"/>
          </w:tcPr>
          <w:p w:rsidR="00704BE9" w:rsidRPr="00716BBF" w:rsidRDefault="00716BBF" w:rsidP="00716BBF">
            <w:pPr>
              <w:jc w:val="center"/>
              <w:rPr>
                <w:rFonts w:ascii="Times New Roman" w:eastAsia="Times New Roman" w:hAnsi="Times New Roman"/>
                <w:b/>
                <w:bCs/>
                <w:color w:val="000000"/>
                <w:sz w:val="20"/>
                <w:szCs w:val="20"/>
                <w:lang w:val="kk-KZ" w:eastAsia="ru-RU"/>
              </w:rPr>
            </w:pPr>
            <w:r>
              <w:rPr>
                <w:rFonts w:ascii="Times New Roman" w:eastAsia="Times New Roman" w:hAnsi="Times New Roman"/>
                <w:b/>
                <w:bCs/>
                <w:color w:val="000000"/>
                <w:sz w:val="20"/>
                <w:szCs w:val="20"/>
                <w:lang w:val="kk-KZ" w:eastAsia="ru-RU"/>
              </w:rPr>
              <w:t>нет</w:t>
            </w:r>
          </w:p>
        </w:tc>
        <w:tc>
          <w:tcPr>
            <w:tcW w:w="1276" w:type="dxa"/>
          </w:tcPr>
          <w:p w:rsidR="00704BE9" w:rsidRPr="00381ACE" w:rsidRDefault="00704BE9" w:rsidP="003305B1">
            <w:pPr>
              <w:spacing w:after="0" w:line="240" w:lineRule="auto"/>
              <w:jc w:val="center"/>
              <w:rPr>
                <w:rFonts w:ascii="Times New Roman" w:eastAsia="Times New Roman" w:hAnsi="Times New Roman"/>
                <w:b/>
                <w:bCs/>
                <w:color w:val="000000"/>
                <w:sz w:val="20"/>
                <w:szCs w:val="20"/>
                <w:lang w:val="en-US" w:eastAsia="ru-RU"/>
              </w:rPr>
            </w:pP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26</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Калибратор ASO (Антистрептолизина О) (1*5мл) арт.: 105-007673-00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определения Антистрептолизини О. Объем рабочего раствора 80мл.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5</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156 700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783 500,00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156600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27</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Ревматоидный фактор II с калибратором R1:1х40 мл + R2: 1х11 мл л арт:105-007676-00</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Двухкомпонентный набор реагентов для количественного определения Ревматоидного фактора. Объем рабочего раствора 55мл. Реагенты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5</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129 500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647 500,00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8C68AB"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129400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28</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Контрольная сыворотка L1 Норма  (N), (6*5 мл). Арт.:105-009119-00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Контрольные растворы для определения N:ALB; ALP; ALT; AMY; AST; DB-DSA;  DB-VOX;  TB-DSA;  TB-VOX;  Ca;  TC;  CK;</w:t>
            </w:r>
            <w:r w:rsidRPr="00381ACE">
              <w:rPr>
                <w:rFonts w:ascii="Times New Roman" w:hAnsi="Times New Roman"/>
                <w:color w:val="000000"/>
                <w:sz w:val="20"/>
                <w:szCs w:val="20"/>
              </w:rPr>
              <w:br/>
              <w:t xml:space="preserve">  Crea-S;  GLU-HK;  GLU-O;  GGT;  HBDH;  IgA;  </w:t>
            </w:r>
            <w:r w:rsidRPr="00381ACE">
              <w:rPr>
                <w:rFonts w:ascii="Times New Roman" w:hAnsi="Times New Roman"/>
                <w:color w:val="000000"/>
                <w:sz w:val="20"/>
                <w:szCs w:val="20"/>
              </w:rPr>
              <w:lastRenderedPageBreak/>
              <w:t>IgG;  IgM;  LDH;  Mg;  P;  TP;  TG;  Urea;  UA; Fe; CHE; LIP; Na+; K+; Cl-; C3; C4; CRP; HS-CRP; HDL-C; LDL-C; Apo-A1; Apo-B; PA; CK-MB; ASO; TRF; FER; UIBC</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lastRenderedPageBreak/>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133 700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534 800,00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lastRenderedPageBreak/>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133600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29</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Контрольная сыворотка L2 (P), (6*5 мл). Арт.:105-009120-00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Контрольные растворы для определения P :ALB; ALP; ALT; AMY; AST; DB-DSA;  DB-VOX;  TB-DSA;  TB-VOX;  Ca;  TC;  CK;</w:t>
            </w:r>
            <w:r w:rsidRPr="00381ACE">
              <w:rPr>
                <w:rFonts w:ascii="Times New Roman" w:hAnsi="Times New Roman"/>
                <w:color w:val="000000"/>
                <w:sz w:val="20"/>
                <w:szCs w:val="20"/>
              </w:rPr>
              <w:br/>
              <w:t xml:space="preserve">  Crea-S;  GLU-HK;  GLU-O;  GGT;  HBDH;  IgA;  IgG;  IgM;  LDH;  Mg;  P;  TP;  TG;  Urea;  UA; Fe; CHE; LIP; Na+; K+; Cl-; C3; C4; CRP; HS-CRP; HDL-C; LDL-C; Apo-A1; Apo-B; PA; CK-MB; ASO; TRF; FER; UIBC</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158 800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635 200,00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158700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30</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Моющий CD 80 1л, арт. 105-000748-00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Специальный концентрированный реагент Detergent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обладает коррозийными и окисляющими свойствами при контакте с деталями анализатора. Фасовка концентрата  1 литра, хватает для приготовления 15 литров моющего раствора</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кан</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27 100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1 084 000,00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27000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31</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Кровь контрольная B55, 3*3,5ml (L, N, H), арт: 105-000134-00,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набор</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6</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95 000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570 000,00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94900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lastRenderedPageBreak/>
              <w:t>32</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Дилюент M-52 (20л/кан) арт.:105-004045-00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Изотонический разбавитель для гематологических анализаторов . Канистры по 20 литров. Содержит оригинальный штрих код</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кан</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15</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33 100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496 500,00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33000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33</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Реагент лизирующий M-52DIFF (500мл) арт.:105-003724-00 Mindray</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Специальный жидкий реагент, предназначенный для лизирования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 Объем флакона не менее 500 мл.</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флак</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30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42 000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1 260 000,00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41900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34</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Реагент лизирующий М-52LH (100мл/бут) арт. 105-004307-00</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Специальный жидкий реагент, предназначенный для лизирования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 мл</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флак</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50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27 000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1 350 000,00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26900</w:t>
            </w:r>
          </w:p>
        </w:tc>
      </w:tr>
      <w:tr w:rsidR="00245EB2" w:rsidRPr="00381ACE" w:rsidTr="00AB6907">
        <w:tc>
          <w:tcPr>
            <w:tcW w:w="709" w:type="dxa"/>
          </w:tcPr>
          <w:p w:rsidR="00245EB2" w:rsidRPr="00381ACE" w:rsidRDefault="00245EB2" w:rsidP="00245EB2">
            <w:pPr>
              <w:spacing w:after="0" w:line="240" w:lineRule="auto"/>
              <w:rPr>
                <w:b/>
                <w:bCs/>
                <w:color w:val="000000"/>
                <w:sz w:val="20"/>
                <w:szCs w:val="20"/>
              </w:rPr>
            </w:pPr>
            <w:r w:rsidRPr="00381ACE">
              <w:rPr>
                <w:b/>
                <w:bCs/>
                <w:color w:val="000000"/>
                <w:sz w:val="20"/>
                <w:szCs w:val="20"/>
              </w:rPr>
              <w:t>35</w:t>
            </w:r>
          </w:p>
        </w:tc>
        <w:tc>
          <w:tcPr>
            <w:tcW w:w="2977"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Чистящий раствор М-30Р (17мл), арт. А12-000046- Mindray </w:t>
            </w:r>
          </w:p>
        </w:tc>
        <w:tc>
          <w:tcPr>
            <w:tcW w:w="4531" w:type="dxa"/>
          </w:tcPr>
          <w:p w:rsidR="00245EB2" w:rsidRPr="00381ACE" w:rsidRDefault="00245EB2" w:rsidP="00245EB2">
            <w:pPr>
              <w:rPr>
                <w:rFonts w:ascii="Times New Roman" w:hAnsi="Times New Roman"/>
                <w:color w:val="000000"/>
                <w:sz w:val="20"/>
                <w:szCs w:val="20"/>
              </w:rPr>
            </w:pPr>
            <w:r w:rsidRPr="00381ACE">
              <w:rPr>
                <w:rFonts w:ascii="Times New Roman" w:hAnsi="Times New Roman"/>
                <w:color w:val="000000"/>
                <w:sz w:val="20"/>
                <w:szCs w:val="20"/>
              </w:rPr>
              <w:t xml:space="preserve">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p>
        </w:tc>
        <w:tc>
          <w:tcPr>
            <w:tcW w:w="850"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шт</w:t>
            </w:r>
          </w:p>
        </w:tc>
        <w:tc>
          <w:tcPr>
            <w:tcW w:w="70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20</w:t>
            </w:r>
          </w:p>
        </w:tc>
        <w:tc>
          <w:tcPr>
            <w:tcW w:w="1134"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2 500</w:t>
            </w:r>
          </w:p>
        </w:tc>
        <w:tc>
          <w:tcPr>
            <w:tcW w:w="1559" w:type="dxa"/>
          </w:tcPr>
          <w:p w:rsidR="00245EB2" w:rsidRPr="00381ACE" w:rsidRDefault="00245EB2" w:rsidP="00245EB2">
            <w:pPr>
              <w:jc w:val="center"/>
              <w:rPr>
                <w:rFonts w:ascii="Times New Roman" w:hAnsi="Times New Roman"/>
                <w:color w:val="000000"/>
                <w:sz w:val="20"/>
                <w:szCs w:val="20"/>
              </w:rPr>
            </w:pPr>
            <w:r w:rsidRPr="00381ACE">
              <w:rPr>
                <w:rFonts w:ascii="Times New Roman" w:hAnsi="Times New Roman"/>
                <w:color w:val="000000"/>
                <w:sz w:val="20"/>
                <w:szCs w:val="20"/>
              </w:rPr>
              <w:t xml:space="preserve">      50 000,00   </w:t>
            </w:r>
          </w:p>
        </w:tc>
        <w:tc>
          <w:tcPr>
            <w:tcW w:w="1418" w:type="dxa"/>
          </w:tcPr>
          <w:p w:rsidR="00245EB2" w:rsidRDefault="00245EB2" w:rsidP="00245EB2">
            <w:pPr>
              <w:jc w:val="cente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p>
        </w:tc>
        <w:tc>
          <w:tcPr>
            <w:tcW w:w="1276" w:type="dxa"/>
          </w:tcPr>
          <w:p w:rsidR="00245EB2" w:rsidRPr="004A582E" w:rsidRDefault="00245EB2" w:rsidP="003305B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2400</w:t>
            </w:r>
          </w:p>
        </w:tc>
      </w:tr>
      <w:tr w:rsidR="00381ACE" w:rsidRPr="00381ACE" w:rsidTr="00AB6907">
        <w:trPr>
          <w:trHeight w:val="699"/>
        </w:trPr>
        <w:tc>
          <w:tcPr>
            <w:tcW w:w="709" w:type="dxa"/>
          </w:tcPr>
          <w:p w:rsidR="00704BE9" w:rsidRPr="00381ACE" w:rsidRDefault="00704BE9" w:rsidP="00704BE9">
            <w:pPr>
              <w:rPr>
                <w:sz w:val="20"/>
                <w:szCs w:val="20"/>
              </w:rPr>
            </w:pPr>
          </w:p>
        </w:tc>
        <w:tc>
          <w:tcPr>
            <w:tcW w:w="2977" w:type="dxa"/>
          </w:tcPr>
          <w:p w:rsidR="00704BE9" w:rsidRPr="00381ACE" w:rsidRDefault="00704BE9" w:rsidP="00704BE9">
            <w:pPr>
              <w:jc w:val="center"/>
              <w:rPr>
                <w:rFonts w:ascii="Times New Roman" w:hAnsi="Times New Roman"/>
                <w:b/>
                <w:bCs/>
                <w:sz w:val="20"/>
                <w:szCs w:val="20"/>
              </w:rPr>
            </w:pPr>
            <w:r w:rsidRPr="00381ACE">
              <w:rPr>
                <w:rFonts w:ascii="Times New Roman" w:hAnsi="Times New Roman"/>
                <w:b/>
                <w:bCs/>
                <w:sz w:val="20"/>
                <w:szCs w:val="20"/>
              </w:rPr>
              <w:t>Итого</w:t>
            </w:r>
          </w:p>
        </w:tc>
        <w:tc>
          <w:tcPr>
            <w:tcW w:w="4531" w:type="dxa"/>
          </w:tcPr>
          <w:p w:rsidR="00704BE9" w:rsidRPr="00381ACE" w:rsidRDefault="00704BE9" w:rsidP="00704BE9">
            <w:pPr>
              <w:jc w:val="center"/>
              <w:rPr>
                <w:rFonts w:ascii="Times New Roman" w:hAnsi="Times New Roman"/>
                <w:b/>
                <w:bCs/>
                <w:sz w:val="20"/>
                <w:szCs w:val="20"/>
              </w:rPr>
            </w:pPr>
            <w:r w:rsidRPr="00381ACE">
              <w:rPr>
                <w:rFonts w:ascii="Times New Roman" w:hAnsi="Times New Roman"/>
                <w:b/>
                <w:bCs/>
                <w:sz w:val="20"/>
                <w:szCs w:val="20"/>
              </w:rPr>
              <w:t> </w:t>
            </w:r>
          </w:p>
        </w:tc>
        <w:tc>
          <w:tcPr>
            <w:tcW w:w="850" w:type="dxa"/>
          </w:tcPr>
          <w:p w:rsidR="00704BE9" w:rsidRPr="00381ACE" w:rsidRDefault="00704BE9" w:rsidP="00704BE9">
            <w:pPr>
              <w:jc w:val="center"/>
              <w:rPr>
                <w:rFonts w:ascii="Times New Roman" w:hAnsi="Times New Roman"/>
                <w:sz w:val="20"/>
                <w:szCs w:val="20"/>
              </w:rPr>
            </w:pPr>
            <w:r w:rsidRPr="00381ACE">
              <w:rPr>
                <w:rFonts w:ascii="Times New Roman" w:hAnsi="Times New Roman"/>
                <w:sz w:val="20"/>
                <w:szCs w:val="20"/>
              </w:rPr>
              <w:t> </w:t>
            </w:r>
          </w:p>
        </w:tc>
        <w:tc>
          <w:tcPr>
            <w:tcW w:w="709" w:type="dxa"/>
          </w:tcPr>
          <w:p w:rsidR="00704BE9" w:rsidRPr="00381ACE" w:rsidRDefault="00704BE9" w:rsidP="00704BE9">
            <w:pPr>
              <w:jc w:val="center"/>
              <w:rPr>
                <w:rFonts w:ascii="Times New Roman" w:hAnsi="Times New Roman"/>
                <w:b/>
                <w:bCs/>
                <w:color w:val="000000"/>
                <w:sz w:val="20"/>
                <w:szCs w:val="20"/>
              </w:rPr>
            </w:pPr>
            <w:r w:rsidRPr="00381ACE">
              <w:rPr>
                <w:rFonts w:ascii="Times New Roman" w:hAnsi="Times New Roman"/>
                <w:b/>
                <w:bCs/>
                <w:color w:val="000000"/>
                <w:sz w:val="20"/>
                <w:szCs w:val="20"/>
              </w:rPr>
              <w:t> </w:t>
            </w:r>
          </w:p>
        </w:tc>
        <w:tc>
          <w:tcPr>
            <w:tcW w:w="1134" w:type="dxa"/>
          </w:tcPr>
          <w:p w:rsidR="00704BE9" w:rsidRPr="00381ACE" w:rsidRDefault="00704BE9" w:rsidP="00704BE9">
            <w:pPr>
              <w:jc w:val="center"/>
              <w:rPr>
                <w:rFonts w:ascii="Times New Roman" w:hAnsi="Times New Roman"/>
                <w:color w:val="000000"/>
                <w:sz w:val="20"/>
                <w:szCs w:val="20"/>
              </w:rPr>
            </w:pPr>
            <w:r w:rsidRPr="00381ACE">
              <w:rPr>
                <w:rFonts w:ascii="Times New Roman" w:hAnsi="Times New Roman"/>
                <w:color w:val="000000"/>
                <w:sz w:val="20"/>
                <w:szCs w:val="20"/>
              </w:rPr>
              <w:t> </w:t>
            </w:r>
          </w:p>
        </w:tc>
        <w:tc>
          <w:tcPr>
            <w:tcW w:w="1559" w:type="dxa"/>
          </w:tcPr>
          <w:p w:rsidR="00704BE9" w:rsidRPr="00381ACE" w:rsidRDefault="00704BE9" w:rsidP="00704BE9">
            <w:pPr>
              <w:jc w:val="right"/>
              <w:rPr>
                <w:rFonts w:ascii="Times New Roman" w:hAnsi="Times New Roman"/>
                <w:b/>
                <w:bCs/>
                <w:sz w:val="20"/>
                <w:szCs w:val="20"/>
              </w:rPr>
            </w:pPr>
            <w:r w:rsidRPr="00381ACE">
              <w:rPr>
                <w:rFonts w:ascii="Times New Roman" w:hAnsi="Times New Roman"/>
                <w:b/>
                <w:bCs/>
                <w:sz w:val="20"/>
                <w:szCs w:val="20"/>
              </w:rPr>
              <w:t>21 524 400,00</w:t>
            </w:r>
          </w:p>
        </w:tc>
        <w:tc>
          <w:tcPr>
            <w:tcW w:w="1418" w:type="dxa"/>
          </w:tcPr>
          <w:p w:rsidR="00704BE9" w:rsidRPr="00381ACE" w:rsidRDefault="00704BE9" w:rsidP="00704BE9">
            <w:pPr>
              <w:spacing w:after="0"/>
              <w:rPr>
                <w:rFonts w:ascii="Times New Roman" w:hAnsi="Times New Roman"/>
                <w:b/>
                <w:bCs/>
                <w:sz w:val="20"/>
                <w:szCs w:val="20"/>
                <w:lang w:val="kk-KZ"/>
              </w:rPr>
            </w:pPr>
          </w:p>
        </w:tc>
        <w:tc>
          <w:tcPr>
            <w:tcW w:w="1276" w:type="dxa"/>
          </w:tcPr>
          <w:p w:rsidR="00704BE9" w:rsidRPr="00381ACE" w:rsidRDefault="00704BE9" w:rsidP="00704BE9">
            <w:pPr>
              <w:rPr>
                <w:color w:val="000000"/>
                <w:sz w:val="20"/>
                <w:szCs w:val="20"/>
              </w:rPr>
            </w:pPr>
          </w:p>
        </w:tc>
      </w:tr>
    </w:tbl>
    <w:p w:rsidR="00E12364" w:rsidRPr="00381ACE" w:rsidRDefault="00E12364" w:rsidP="00E12364">
      <w:pPr>
        <w:pStyle w:val="a3"/>
        <w:jc w:val="both"/>
        <w:rPr>
          <w:rFonts w:ascii="Times New Roman" w:hAnsi="Times New Roman"/>
          <w:b/>
          <w:sz w:val="20"/>
          <w:szCs w:val="20"/>
        </w:rPr>
      </w:pPr>
    </w:p>
    <w:p w:rsidR="00E12364" w:rsidRPr="00381ACE" w:rsidRDefault="00E12364" w:rsidP="00E12364">
      <w:pPr>
        <w:pStyle w:val="a3"/>
        <w:ind w:left="720"/>
        <w:jc w:val="both"/>
        <w:rPr>
          <w:rFonts w:ascii="Times New Roman" w:hAnsi="Times New Roman"/>
          <w:b/>
          <w:sz w:val="20"/>
          <w:szCs w:val="20"/>
        </w:rPr>
      </w:pPr>
    </w:p>
    <w:p w:rsidR="00E12364" w:rsidRPr="00381ACE" w:rsidRDefault="00E12364" w:rsidP="00E12364">
      <w:pPr>
        <w:pStyle w:val="a3"/>
        <w:ind w:left="720"/>
        <w:jc w:val="both"/>
        <w:rPr>
          <w:rFonts w:ascii="Times New Roman" w:hAnsi="Times New Roman"/>
          <w:b/>
          <w:sz w:val="20"/>
          <w:szCs w:val="20"/>
        </w:rPr>
      </w:pPr>
    </w:p>
    <w:p w:rsidR="00E12364" w:rsidRPr="00381ACE" w:rsidRDefault="00E12364" w:rsidP="00E12364">
      <w:pPr>
        <w:pStyle w:val="a4"/>
        <w:numPr>
          <w:ilvl w:val="0"/>
          <w:numId w:val="2"/>
        </w:numPr>
        <w:spacing w:after="0" w:line="240" w:lineRule="auto"/>
        <w:ind w:left="360"/>
        <w:jc w:val="both"/>
        <w:rPr>
          <w:rFonts w:ascii="Times New Roman" w:hAnsi="Times New Roman"/>
          <w:b/>
          <w:sz w:val="20"/>
          <w:szCs w:val="20"/>
        </w:rPr>
      </w:pPr>
      <w:r w:rsidRPr="00381ACE">
        <w:rPr>
          <w:rFonts w:ascii="Times New Roman" w:hAnsi="Times New Roman"/>
          <w:b/>
          <w:sz w:val="20"/>
          <w:szCs w:val="20"/>
        </w:rPr>
        <w:t>Дата и время представления ценового предложения:</w:t>
      </w:r>
    </w:p>
    <w:p w:rsidR="00E12364" w:rsidRPr="00381ACE" w:rsidRDefault="00E12364" w:rsidP="00E12364">
      <w:pPr>
        <w:pStyle w:val="a4"/>
        <w:spacing w:after="0" w:line="240" w:lineRule="auto"/>
        <w:ind w:left="360"/>
        <w:jc w:val="both"/>
        <w:rPr>
          <w:rFonts w:ascii="Times New Roman" w:hAnsi="Times New Roman"/>
          <w:b/>
          <w:sz w:val="20"/>
          <w:szCs w:val="20"/>
        </w:rPr>
      </w:pPr>
    </w:p>
    <w:p w:rsidR="00E74556" w:rsidRPr="00381ACE" w:rsidRDefault="009D7E22" w:rsidP="00E74556">
      <w:pPr>
        <w:pStyle w:val="a4"/>
        <w:numPr>
          <w:ilvl w:val="0"/>
          <w:numId w:val="11"/>
        </w:numPr>
        <w:spacing w:after="0" w:line="240" w:lineRule="auto"/>
        <w:jc w:val="both"/>
        <w:rPr>
          <w:rFonts w:ascii="Times New Roman" w:hAnsi="Times New Roman"/>
          <w:bCs/>
          <w:sz w:val="20"/>
          <w:szCs w:val="20"/>
          <w:lang w:val="kk-KZ"/>
        </w:rPr>
      </w:pPr>
      <w:r w:rsidRPr="00680754">
        <w:rPr>
          <w:rFonts w:ascii="Times New Roman" w:eastAsia="Times New Roman" w:hAnsi="Times New Roman"/>
          <w:b/>
          <w:bCs/>
          <w:color w:val="000000"/>
          <w:sz w:val="20"/>
          <w:szCs w:val="20"/>
          <w:lang w:eastAsia="ru-RU"/>
        </w:rPr>
        <w:t xml:space="preserve">ИП «Жайлаубай </w:t>
      </w:r>
      <w:r w:rsidRPr="00680754">
        <w:rPr>
          <w:rFonts w:ascii="Times New Roman" w:eastAsia="Times New Roman" w:hAnsi="Times New Roman"/>
          <w:b/>
          <w:bCs/>
          <w:color w:val="000000"/>
          <w:sz w:val="20"/>
          <w:szCs w:val="20"/>
          <w:lang w:val="kk-KZ" w:eastAsia="ru-RU"/>
        </w:rPr>
        <w:t>Қанат Садықұлы</w:t>
      </w:r>
      <w:r w:rsidRPr="00680754">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val="kk-KZ" w:eastAsia="ru-RU"/>
        </w:rPr>
        <w:t>, РК, г</w:t>
      </w:r>
      <w:r>
        <w:rPr>
          <w:rFonts w:ascii="Times New Roman" w:eastAsia="Times New Roman" w:hAnsi="Times New Roman"/>
          <w:b/>
          <w:bCs/>
          <w:color w:val="000000"/>
          <w:sz w:val="20"/>
          <w:szCs w:val="20"/>
          <w:lang w:eastAsia="ru-RU"/>
        </w:rPr>
        <w:t>.Алматы, ул. Нусупбекова, дом  № 97  от  16.02.2022г, в 10ч:00м.</w:t>
      </w:r>
    </w:p>
    <w:p w:rsidR="00E74556" w:rsidRPr="00381ACE" w:rsidRDefault="00E74556" w:rsidP="00E74556">
      <w:pPr>
        <w:pStyle w:val="a4"/>
        <w:spacing w:after="0" w:line="240" w:lineRule="auto"/>
        <w:jc w:val="both"/>
        <w:rPr>
          <w:rFonts w:ascii="Times New Roman" w:hAnsi="Times New Roman"/>
          <w:b/>
          <w:sz w:val="20"/>
          <w:szCs w:val="20"/>
        </w:rPr>
      </w:pPr>
      <w:r w:rsidRPr="00381ACE">
        <w:rPr>
          <w:rFonts w:ascii="Times New Roman" w:hAnsi="Times New Roman"/>
          <w:b/>
          <w:sz w:val="20"/>
          <w:szCs w:val="20"/>
        </w:rPr>
        <w:t xml:space="preserve"> </w:t>
      </w:r>
    </w:p>
    <w:p w:rsidR="00E12364" w:rsidRPr="00381ACE" w:rsidRDefault="00E12364" w:rsidP="00E12364">
      <w:pPr>
        <w:pStyle w:val="a4"/>
        <w:spacing w:after="0" w:line="240" w:lineRule="auto"/>
        <w:ind w:left="1035"/>
        <w:jc w:val="both"/>
        <w:rPr>
          <w:rFonts w:ascii="Times New Roman" w:hAnsi="Times New Roman"/>
          <w:bCs/>
          <w:sz w:val="20"/>
          <w:szCs w:val="20"/>
          <w:lang w:val="kk-KZ"/>
        </w:rPr>
      </w:pPr>
    </w:p>
    <w:p w:rsidR="00E12364" w:rsidRPr="00381ACE" w:rsidRDefault="00E12364" w:rsidP="00E12364">
      <w:pPr>
        <w:pStyle w:val="a4"/>
        <w:numPr>
          <w:ilvl w:val="0"/>
          <w:numId w:val="2"/>
        </w:numPr>
        <w:spacing w:after="0" w:line="240" w:lineRule="auto"/>
        <w:ind w:left="360"/>
        <w:jc w:val="both"/>
        <w:rPr>
          <w:rFonts w:ascii="Times New Roman" w:hAnsi="Times New Roman"/>
          <w:b/>
          <w:bCs/>
          <w:sz w:val="20"/>
          <w:szCs w:val="20"/>
        </w:rPr>
      </w:pPr>
      <w:r w:rsidRPr="00381ACE">
        <w:rPr>
          <w:rFonts w:ascii="Times New Roman" w:hAnsi="Times New Roman"/>
          <w:b/>
          <w:bCs/>
          <w:sz w:val="20"/>
          <w:szCs w:val="20"/>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9D7E22" w:rsidRPr="00381ACE" w:rsidRDefault="009D7E22" w:rsidP="009D7E22">
      <w:pPr>
        <w:pStyle w:val="a4"/>
        <w:spacing w:after="0" w:line="240" w:lineRule="auto"/>
        <w:jc w:val="both"/>
        <w:rPr>
          <w:rFonts w:ascii="Times New Roman" w:hAnsi="Times New Roman"/>
          <w:b/>
          <w:sz w:val="20"/>
          <w:szCs w:val="20"/>
        </w:rPr>
      </w:pPr>
    </w:p>
    <w:p w:rsidR="00E12364" w:rsidRPr="0002582D" w:rsidRDefault="009D7E22" w:rsidP="006B5F8A">
      <w:pPr>
        <w:spacing w:after="0" w:line="240" w:lineRule="auto"/>
        <w:rPr>
          <w:rFonts w:ascii="Times New Roman" w:hAnsi="Times New Roman"/>
          <w:b/>
          <w:bCs/>
          <w:sz w:val="20"/>
          <w:szCs w:val="20"/>
          <w:lang w:val="kk-KZ"/>
        </w:rPr>
      </w:pPr>
      <w:r w:rsidRPr="0002582D">
        <w:rPr>
          <w:rFonts w:ascii="Times New Roman" w:eastAsia="Times New Roman" w:hAnsi="Times New Roman"/>
          <w:b/>
          <w:bCs/>
          <w:color w:val="000000"/>
          <w:sz w:val="20"/>
          <w:szCs w:val="20"/>
          <w:lang w:eastAsia="ru-RU"/>
        </w:rPr>
        <w:t xml:space="preserve">- </w:t>
      </w:r>
      <w:r w:rsidR="0002582D">
        <w:rPr>
          <w:rFonts w:ascii="Times New Roman" w:eastAsia="Times New Roman" w:hAnsi="Times New Roman"/>
          <w:b/>
          <w:bCs/>
          <w:color w:val="000000"/>
          <w:sz w:val="20"/>
          <w:szCs w:val="20"/>
          <w:lang w:eastAsia="ru-RU"/>
        </w:rPr>
        <w:t xml:space="preserve">   </w:t>
      </w:r>
      <w:r w:rsidRPr="0002582D">
        <w:rPr>
          <w:rFonts w:ascii="Times New Roman" w:eastAsia="Times New Roman" w:hAnsi="Times New Roman"/>
          <w:b/>
          <w:bCs/>
          <w:color w:val="000000"/>
          <w:sz w:val="20"/>
          <w:szCs w:val="20"/>
          <w:lang w:eastAsia="ru-RU"/>
        </w:rPr>
        <w:t xml:space="preserve">ИП «Жайлаубай </w:t>
      </w:r>
      <w:r w:rsidRPr="0002582D">
        <w:rPr>
          <w:rFonts w:ascii="Times New Roman" w:eastAsia="Times New Roman" w:hAnsi="Times New Roman"/>
          <w:b/>
          <w:bCs/>
          <w:color w:val="000000"/>
          <w:sz w:val="20"/>
          <w:szCs w:val="20"/>
          <w:lang w:val="kk-KZ" w:eastAsia="ru-RU"/>
        </w:rPr>
        <w:t>Қанат Садықұлы</w:t>
      </w:r>
      <w:r w:rsidRPr="0002582D">
        <w:rPr>
          <w:rFonts w:ascii="Times New Roman" w:eastAsia="Times New Roman" w:hAnsi="Times New Roman"/>
          <w:b/>
          <w:bCs/>
          <w:color w:val="000000"/>
          <w:sz w:val="20"/>
          <w:szCs w:val="20"/>
          <w:lang w:eastAsia="ru-RU"/>
        </w:rPr>
        <w:t>»</w:t>
      </w:r>
      <w:r w:rsidRPr="0002582D">
        <w:rPr>
          <w:rFonts w:ascii="Times New Roman" w:eastAsia="Times New Roman" w:hAnsi="Times New Roman"/>
          <w:b/>
          <w:bCs/>
          <w:color w:val="000000"/>
          <w:sz w:val="20"/>
          <w:szCs w:val="20"/>
          <w:lang w:val="kk-KZ" w:eastAsia="ru-RU"/>
        </w:rPr>
        <w:t>, РК, г</w:t>
      </w:r>
      <w:r w:rsidRPr="0002582D">
        <w:rPr>
          <w:rFonts w:ascii="Times New Roman" w:eastAsia="Times New Roman" w:hAnsi="Times New Roman"/>
          <w:b/>
          <w:bCs/>
          <w:color w:val="000000"/>
          <w:sz w:val="20"/>
          <w:szCs w:val="20"/>
          <w:lang w:eastAsia="ru-RU"/>
        </w:rPr>
        <w:t xml:space="preserve">.Алматы, ул. Нусупбекова, дом  № 97  </w:t>
      </w:r>
      <w:r w:rsidR="0002582D" w:rsidRPr="0002582D">
        <w:rPr>
          <w:rFonts w:ascii="Times New Roman" w:eastAsia="Times New Roman" w:hAnsi="Times New Roman"/>
          <w:b/>
          <w:bCs/>
          <w:color w:val="000000"/>
          <w:sz w:val="20"/>
          <w:szCs w:val="20"/>
          <w:lang w:eastAsia="ru-RU"/>
        </w:rPr>
        <w:t xml:space="preserve">                                                                                                                                                    </w:t>
      </w:r>
      <w:r w:rsidR="0002582D">
        <w:rPr>
          <w:rFonts w:ascii="Times New Roman" w:eastAsia="Times New Roman" w:hAnsi="Times New Roman"/>
          <w:b/>
          <w:bCs/>
          <w:color w:val="000000"/>
          <w:sz w:val="20"/>
          <w:szCs w:val="20"/>
          <w:lang w:eastAsia="ru-RU"/>
        </w:rPr>
        <w:t xml:space="preserve"> </w:t>
      </w:r>
      <w:r w:rsidR="006B5F8A">
        <w:rPr>
          <w:rFonts w:ascii="Times New Roman" w:eastAsia="Times New Roman" w:hAnsi="Times New Roman"/>
          <w:b/>
          <w:bCs/>
          <w:color w:val="000000"/>
          <w:sz w:val="20"/>
          <w:szCs w:val="20"/>
          <w:lang w:eastAsia="ru-RU"/>
        </w:rPr>
        <w:t xml:space="preserve">                </w:t>
      </w:r>
      <w:r w:rsidR="0002582D" w:rsidRPr="0002582D">
        <w:rPr>
          <w:rFonts w:ascii="Times New Roman" w:hAnsi="Times New Roman"/>
          <w:b/>
          <w:sz w:val="20"/>
          <w:szCs w:val="20"/>
          <w:lang w:val="kk-KZ" w:eastAsia="ru-RU"/>
        </w:rPr>
        <w:t>(лоты 1,2,3,4,5,6,7,8,9,10,11,12,13,14,15,16,17,18,19,20,21,22,26,27,28,29,30,31,32,33,34,35</w:t>
      </w:r>
      <w:r w:rsidR="0002582D" w:rsidRPr="0002582D">
        <w:rPr>
          <w:rFonts w:ascii="Times New Roman" w:hAnsi="Times New Roman"/>
          <w:b/>
          <w:sz w:val="20"/>
          <w:szCs w:val="20"/>
          <w:lang w:val="kk-KZ" w:eastAsia="ru-RU"/>
        </w:rPr>
        <w:t xml:space="preserve"> )</w:t>
      </w:r>
      <w:r w:rsidR="0002582D" w:rsidRPr="0002582D">
        <w:rPr>
          <w:rFonts w:ascii="Times New Roman" w:hAnsi="Times New Roman"/>
          <w:b/>
          <w:sz w:val="20"/>
          <w:szCs w:val="20"/>
          <w:lang w:val="kk-KZ" w:eastAsia="ru-RU"/>
        </w:rPr>
        <w:t xml:space="preserve">   </w:t>
      </w:r>
      <w:r w:rsidR="0002582D" w:rsidRPr="0002582D">
        <w:rPr>
          <w:rFonts w:ascii="Times New Roman" w:hAnsi="Times New Roman"/>
          <w:b/>
          <w:sz w:val="20"/>
          <w:szCs w:val="20"/>
          <w:lang w:val="kk-KZ" w:eastAsia="ru-RU"/>
        </w:rPr>
        <w:t xml:space="preserve"> </w:t>
      </w:r>
      <w:r w:rsidR="006B5F8A">
        <w:rPr>
          <w:rFonts w:ascii="Times New Roman" w:hAnsi="Times New Roman"/>
          <w:b/>
          <w:sz w:val="20"/>
          <w:szCs w:val="20"/>
          <w:lang w:val="kk-KZ" w:eastAsia="ru-RU"/>
        </w:rPr>
        <w:t xml:space="preserve">  </w:t>
      </w:r>
      <w:r w:rsidR="0002582D" w:rsidRPr="0002582D">
        <w:rPr>
          <w:rFonts w:ascii="Times New Roman" w:hAnsi="Times New Roman"/>
          <w:b/>
          <w:sz w:val="20"/>
          <w:szCs w:val="20"/>
          <w:lang w:val="kk-KZ" w:eastAsia="ru-RU"/>
        </w:rPr>
        <w:t xml:space="preserve"> </w:t>
      </w:r>
      <w:r w:rsidR="0002582D" w:rsidRPr="0002582D">
        <w:rPr>
          <w:rFonts w:ascii="Times New Roman" w:hAnsi="Times New Roman"/>
          <w:b/>
          <w:sz w:val="20"/>
          <w:szCs w:val="20"/>
          <w:lang w:val="kk-KZ" w:eastAsia="ru-RU"/>
        </w:rPr>
        <w:t xml:space="preserve">сумма договора: </w:t>
      </w:r>
      <w:r w:rsidR="0002582D" w:rsidRPr="0002582D">
        <w:rPr>
          <w:rFonts w:ascii="Times New Roman" w:eastAsia="Times New Roman" w:hAnsi="Times New Roman"/>
          <w:b/>
          <w:color w:val="000000"/>
          <w:sz w:val="20"/>
          <w:szCs w:val="20"/>
          <w:lang w:eastAsia="ru-RU"/>
        </w:rPr>
        <w:t>16 425 700</w:t>
      </w:r>
      <w:r w:rsidR="0002582D" w:rsidRPr="0002582D">
        <w:rPr>
          <w:rFonts w:ascii="Times New Roman" w:hAnsi="Times New Roman"/>
          <w:b/>
          <w:sz w:val="20"/>
          <w:szCs w:val="20"/>
          <w:lang w:val="kk-KZ" w:eastAsia="ru-RU"/>
        </w:rPr>
        <w:t>,00 тенге</w:t>
      </w:r>
    </w:p>
    <w:p w:rsidR="00E12364" w:rsidRPr="00381ACE" w:rsidRDefault="00E12364" w:rsidP="00E74556">
      <w:pPr>
        <w:spacing w:after="0" w:line="240" w:lineRule="auto"/>
        <w:jc w:val="both"/>
        <w:rPr>
          <w:rFonts w:ascii="Times New Roman" w:hAnsi="Times New Roman"/>
          <w:b/>
          <w:sz w:val="20"/>
          <w:szCs w:val="20"/>
        </w:rPr>
      </w:pPr>
      <w:r w:rsidRPr="00381ACE">
        <w:rPr>
          <w:rFonts w:ascii="Times New Roman" w:hAnsi="Times New Roman"/>
          <w:b/>
          <w:color w:val="FF0000"/>
          <w:sz w:val="20"/>
          <w:szCs w:val="20"/>
          <w:lang w:val="kk-KZ" w:eastAsia="ru-RU"/>
        </w:rPr>
        <w:lastRenderedPageBreak/>
        <w:t xml:space="preserve">   </w:t>
      </w:r>
    </w:p>
    <w:p w:rsidR="00E12364" w:rsidRPr="00381ACE" w:rsidRDefault="00E12364" w:rsidP="00E12364">
      <w:pPr>
        <w:pStyle w:val="a4"/>
        <w:numPr>
          <w:ilvl w:val="0"/>
          <w:numId w:val="2"/>
        </w:numPr>
        <w:spacing w:after="0"/>
        <w:ind w:left="360"/>
        <w:jc w:val="both"/>
        <w:rPr>
          <w:rFonts w:ascii="Times New Roman" w:hAnsi="Times New Roman"/>
          <w:b/>
          <w:sz w:val="20"/>
          <w:szCs w:val="20"/>
        </w:rPr>
      </w:pPr>
      <w:r w:rsidRPr="00381ACE">
        <w:rPr>
          <w:rFonts w:ascii="Times New Roman" w:hAnsi="Times New Roman"/>
          <w:b/>
          <w:sz w:val="20"/>
          <w:szCs w:val="20"/>
        </w:rPr>
        <w:t>Наименование потенциальных поставщиков, присутствовавших</w:t>
      </w:r>
      <w:r w:rsidRPr="00381ACE">
        <w:rPr>
          <w:rFonts w:ascii="Times New Roman" w:hAnsi="Times New Roman"/>
          <w:b/>
          <w:sz w:val="20"/>
          <w:szCs w:val="20"/>
          <w:lang w:val="kk-KZ"/>
        </w:rPr>
        <w:t xml:space="preserve"> </w:t>
      </w:r>
      <w:r w:rsidRPr="00381ACE">
        <w:rPr>
          <w:rFonts w:ascii="Times New Roman" w:hAnsi="Times New Roman"/>
          <w:b/>
          <w:sz w:val="20"/>
          <w:szCs w:val="20"/>
        </w:rPr>
        <w:t>при процедуре вскрытия конвертов с ценовыми предложениями удаленно видеоконференц-связью через приложение Zoom:</w:t>
      </w:r>
    </w:p>
    <w:p w:rsidR="00E12364" w:rsidRPr="00381ACE" w:rsidRDefault="00E12364" w:rsidP="00E12364">
      <w:pPr>
        <w:pStyle w:val="a4"/>
        <w:spacing w:after="0"/>
        <w:jc w:val="both"/>
        <w:rPr>
          <w:rFonts w:ascii="Times New Roman" w:hAnsi="Times New Roman"/>
          <w:sz w:val="20"/>
          <w:szCs w:val="20"/>
          <w:lang w:val="kk-KZ"/>
        </w:rPr>
      </w:pPr>
      <w:r w:rsidRPr="00381ACE">
        <w:rPr>
          <w:rFonts w:ascii="Times New Roman" w:hAnsi="Times New Roman"/>
          <w:sz w:val="20"/>
          <w:szCs w:val="20"/>
        </w:rPr>
        <w:t>–</w:t>
      </w:r>
      <w:r w:rsidRPr="00381ACE">
        <w:rPr>
          <w:sz w:val="20"/>
          <w:szCs w:val="20"/>
        </w:rPr>
        <w:t xml:space="preserve"> </w:t>
      </w:r>
      <w:r w:rsidRPr="00381ACE">
        <w:rPr>
          <w:rFonts w:ascii="Times New Roman" w:hAnsi="Times New Roman"/>
          <w:sz w:val="20"/>
          <w:szCs w:val="20"/>
        </w:rPr>
        <w:t>отсутствует;</w:t>
      </w:r>
    </w:p>
    <w:p w:rsidR="00E12364" w:rsidRPr="00381ACE" w:rsidRDefault="00E12364" w:rsidP="00E74556">
      <w:pPr>
        <w:pStyle w:val="a4"/>
        <w:spacing w:after="0"/>
        <w:jc w:val="both"/>
        <w:rPr>
          <w:rFonts w:ascii="Times New Roman" w:hAnsi="Times New Roman"/>
          <w:sz w:val="20"/>
          <w:szCs w:val="20"/>
        </w:rPr>
      </w:pPr>
      <w:r w:rsidRPr="00381ACE">
        <w:rPr>
          <w:rFonts w:ascii="Times New Roman" w:hAnsi="Times New Roman"/>
          <w:sz w:val="20"/>
          <w:szCs w:val="20"/>
        </w:rPr>
        <w:t xml:space="preserve">    </w:t>
      </w:r>
    </w:p>
    <w:p w:rsidR="00E12364" w:rsidRPr="00381ACE" w:rsidRDefault="00E12364" w:rsidP="00E12364">
      <w:pPr>
        <w:pStyle w:val="a4"/>
        <w:numPr>
          <w:ilvl w:val="0"/>
          <w:numId w:val="2"/>
        </w:numPr>
        <w:spacing w:after="0"/>
        <w:ind w:left="360"/>
        <w:jc w:val="both"/>
        <w:rPr>
          <w:rFonts w:ascii="Times New Roman" w:hAnsi="Times New Roman"/>
          <w:sz w:val="20"/>
          <w:szCs w:val="20"/>
        </w:rPr>
      </w:pPr>
      <w:r w:rsidRPr="00381ACE">
        <w:rPr>
          <w:rFonts w:ascii="Times New Roman" w:hAnsi="Times New Roman"/>
          <w:sz w:val="20"/>
          <w:szCs w:val="20"/>
        </w:rPr>
        <w:t>Поставщики, указанные в пункте 4</w:t>
      </w:r>
      <w:r w:rsidRPr="00381ACE">
        <w:rPr>
          <w:rFonts w:ascii="Times New Roman" w:hAnsi="Times New Roman"/>
          <w:b/>
          <w:sz w:val="20"/>
          <w:szCs w:val="20"/>
          <w:lang w:eastAsia="ru-RU"/>
        </w:rPr>
        <w:t xml:space="preserve">, </w:t>
      </w:r>
      <w:r w:rsidRPr="00381ACE">
        <w:rPr>
          <w:rFonts w:ascii="Times New Roman" w:hAnsi="Times New Roman"/>
          <w:sz w:val="20"/>
          <w:szCs w:val="20"/>
        </w:rPr>
        <w:t xml:space="preserve">в срок  до </w:t>
      </w:r>
      <w:r w:rsidRPr="00381ACE">
        <w:rPr>
          <w:rFonts w:ascii="Times New Roman" w:hAnsi="Times New Roman"/>
          <w:sz w:val="20"/>
          <w:szCs w:val="20"/>
          <w:lang w:val="kk-KZ"/>
        </w:rPr>
        <w:t>«</w:t>
      </w:r>
      <w:r w:rsidR="006B5F8A">
        <w:rPr>
          <w:rFonts w:ascii="Times New Roman" w:hAnsi="Times New Roman"/>
          <w:sz w:val="20"/>
          <w:szCs w:val="20"/>
          <w:lang w:val="kk-KZ"/>
        </w:rPr>
        <w:t>24</w:t>
      </w:r>
      <w:r w:rsidRPr="00381ACE">
        <w:rPr>
          <w:rFonts w:ascii="Times New Roman" w:hAnsi="Times New Roman"/>
          <w:sz w:val="20"/>
          <w:szCs w:val="20"/>
        </w:rPr>
        <w:t xml:space="preserve">» </w:t>
      </w:r>
      <w:r w:rsidR="006B5F8A">
        <w:rPr>
          <w:rFonts w:ascii="Times New Roman" w:hAnsi="Times New Roman"/>
          <w:sz w:val="20"/>
          <w:szCs w:val="20"/>
        </w:rPr>
        <w:t>февраля</w:t>
      </w:r>
      <w:bookmarkStart w:id="0" w:name="_GoBack"/>
      <w:bookmarkEnd w:id="0"/>
      <w:r w:rsidRPr="00381ACE">
        <w:rPr>
          <w:rFonts w:ascii="Times New Roman" w:hAnsi="Times New Roman"/>
          <w:sz w:val="20"/>
          <w:szCs w:val="20"/>
        </w:rPr>
        <w:t xml:space="preserve">   20</w:t>
      </w:r>
      <w:r w:rsidRPr="00381ACE">
        <w:rPr>
          <w:rFonts w:ascii="Times New Roman" w:hAnsi="Times New Roman"/>
          <w:sz w:val="20"/>
          <w:szCs w:val="20"/>
          <w:lang w:val="kk-KZ"/>
        </w:rPr>
        <w:t>22</w:t>
      </w:r>
      <w:r w:rsidRPr="00381ACE">
        <w:rPr>
          <w:rFonts w:ascii="Times New Roman" w:hAnsi="Times New Roman"/>
          <w:sz w:val="20"/>
          <w:szCs w:val="20"/>
        </w:rPr>
        <w:t xml:space="preserve"> года должны представить документы, подтверждающие соответствие квалификационным требованиям, установленным Главой 9 пунктом 102 Постановления  Правительства Республики Казахстан от 04 июня 2021 года № 375 «</w:t>
      </w:r>
      <w:r w:rsidRPr="00381ACE">
        <w:rPr>
          <w:rFonts w:ascii="Times New Roman" w:hAnsi="Times New Roman"/>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381ACE">
        <w:rPr>
          <w:rFonts w:ascii="Times New Roman" w:hAnsi="Times New Roman"/>
          <w:sz w:val="20"/>
          <w:szCs w:val="20"/>
        </w:rPr>
        <w:t>».</w:t>
      </w:r>
    </w:p>
    <w:p w:rsidR="00E12364" w:rsidRPr="00381ACE" w:rsidRDefault="00E12364" w:rsidP="00E12364">
      <w:pPr>
        <w:spacing w:after="0" w:line="240" w:lineRule="auto"/>
        <w:ind w:left="720"/>
        <w:contextualSpacing/>
        <w:jc w:val="both"/>
        <w:rPr>
          <w:rFonts w:ascii="Times New Roman" w:hAnsi="Times New Roman"/>
          <w:sz w:val="20"/>
          <w:szCs w:val="20"/>
        </w:rPr>
      </w:pPr>
    </w:p>
    <w:p w:rsidR="00E12364" w:rsidRPr="00381ACE" w:rsidRDefault="00E12364" w:rsidP="00E12364">
      <w:pPr>
        <w:spacing w:after="0" w:line="240" w:lineRule="auto"/>
        <w:ind w:firstLine="426"/>
        <w:contextualSpacing/>
        <w:jc w:val="both"/>
        <w:rPr>
          <w:rFonts w:ascii="Times New Roman" w:hAnsi="Times New Roman"/>
          <w:b/>
          <w:sz w:val="20"/>
          <w:szCs w:val="20"/>
          <w:lang w:val="kk-KZ"/>
        </w:rPr>
      </w:pPr>
    </w:p>
    <w:p w:rsidR="00E12364" w:rsidRPr="00381ACE" w:rsidRDefault="00E12364" w:rsidP="00E12364">
      <w:pPr>
        <w:rPr>
          <w:rFonts w:ascii="Times New Roman" w:hAnsi="Times New Roman"/>
          <w:sz w:val="20"/>
          <w:szCs w:val="20"/>
        </w:rPr>
      </w:pPr>
      <w:r w:rsidRPr="00381ACE">
        <w:rPr>
          <w:rFonts w:ascii="Times New Roman" w:hAnsi="Times New Roman"/>
          <w:sz w:val="20"/>
          <w:szCs w:val="20"/>
        </w:rPr>
        <w:t xml:space="preserve">                                Председатель комиссии – директор </w:t>
      </w:r>
      <w:r w:rsidRPr="00381ACE">
        <w:rPr>
          <w:rFonts w:ascii="Times New Roman" w:hAnsi="Times New Roman"/>
          <w:sz w:val="20"/>
          <w:szCs w:val="20"/>
          <w:lang w:val="kk-KZ"/>
        </w:rPr>
        <w:t xml:space="preserve">             </w:t>
      </w:r>
      <w:r w:rsidRPr="00381ACE">
        <w:rPr>
          <w:rFonts w:ascii="Times New Roman" w:hAnsi="Times New Roman"/>
          <w:sz w:val="20"/>
          <w:szCs w:val="20"/>
        </w:rPr>
        <w:t>Сураужанов Д.А.</w:t>
      </w:r>
    </w:p>
    <w:p w:rsidR="00E12364" w:rsidRPr="00381ACE" w:rsidRDefault="00E12364" w:rsidP="00E12364">
      <w:pPr>
        <w:rPr>
          <w:rFonts w:ascii="Times New Roman" w:hAnsi="Times New Roman"/>
          <w:sz w:val="20"/>
          <w:szCs w:val="20"/>
        </w:rPr>
      </w:pPr>
      <w:r w:rsidRPr="00381ACE">
        <w:rPr>
          <w:rFonts w:ascii="Times New Roman" w:hAnsi="Times New Roman"/>
          <w:sz w:val="20"/>
          <w:szCs w:val="20"/>
        </w:rPr>
        <w:t xml:space="preserve">                                     Члены комиссии:</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rPr>
        <w:t xml:space="preserve">                                    - зам директора</w:t>
      </w:r>
      <w:r w:rsidRPr="00381ACE">
        <w:rPr>
          <w:rFonts w:ascii="Times New Roman" w:hAnsi="Times New Roman"/>
          <w:sz w:val="20"/>
          <w:szCs w:val="20"/>
          <w:lang w:val="kk-KZ"/>
        </w:rPr>
        <w:t xml:space="preserve">  по лечебной части  </w:t>
      </w:r>
      <w:r w:rsidRPr="00381ACE">
        <w:rPr>
          <w:rFonts w:ascii="Times New Roman" w:hAnsi="Times New Roman"/>
          <w:sz w:val="20"/>
          <w:szCs w:val="20"/>
        </w:rPr>
        <w:t xml:space="preserve"> – </w:t>
      </w:r>
      <w:r w:rsidRPr="00381ACE">
        <w:rPr>
          <w:rFonts w:ascii="Times New Roman" w:hAnsi="Times New Roman"/>
          <w:sz w:val="20"/>
          <w:szCs w:val="20"/>
          <w:lang w:val="kk-KZ"/>
        </w:rPr>
        <w:t xml:space="preserve">   Абдымолдаева  Ж.А.</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rPr>
        <w:t xml:space="preserve">                                    -  провизор  - </w:t>
      </w:r>
      <w:r w:rsidRPr="00381ACE">
        <w:rPr>
          <w:rFonts w:ascii="Times New Roman" w:hAnsi="Times New Roman"/>
          <w:sz w:val="20"/>
          <w:szCs w:val="20"/>
          <w:lang w:val="kk-KZ"/>
        </w:rPr>
        <w:t xml:space="preserve">                                             </w:t>
      </w:r>
      <w:r w:rsidRPr="00381ACE">
        <w:rPr>
          <w:rFonts w:ascii="Times New Roman" w:hAnsi="Times New Roman"/>
          <w:sz w:val="20"/>
          <w:szCs w:val="20"/>
        </w:rPr>
        <w:t xml:space="preserve"> </w:t>
      </w:r>
      <w:r w:rsidRPr="00381ACE">
        <w:rPr>
          <w:rFonts w:ascii="Times New Roman" w:hAnsi="Times New Roman"/>
          <w:sz w:val="20"/>
          <w:szCs w:val="20"/>
          <w:lang w:val="kk-KZ"/>
        </w:rPr>
        <w:t>Курочкина Е.П.</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lang w:val="kk-KZ"/>
        </w:rPr>
        <w:t xml:space="preserve">                                    - фармацевт –                                              Корумбаева А.</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lang w:val="kk-KZ"/>
        </w:rPr>
        <w:t xml:space="preserve">                                     -  материальный бухгалтер  -                    Нуркалиева А.Ч.</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lang w:val="kk-KZ"/>
        </w:rPr>
        <w:t xml:space="preserve">                                    - материальный бухгалтер  -                      Байсугурова А.Г.</w:t>
      </w:r>
    </w:p>
    <w:p w:rsidR="00E12364" w:rsidRPr="00381ACE" w:rsidRDefault="00E12364" w:rsidP="00E12364">
      <w:pPr>
        <w:rPr>
          <w:rFonts w:ascii="Times New Roman" w:hAnsi="Times New Roman"/>
          <w:sz w:val="20"/>
          <w:szCs w:val="20"/>
          <w:lang w:val="kk-KZ"/>
        </w:rPr>
      </w:pPr>
      <w:r w:rsidRPr="00381ACE">
        <w:rPr>
          <w:rFonts w:ascii="Times New Roman" w:hAnsi="Times New Roman"/>
          <w:sz w:val="20"/>
          <w:szCs w:val="20"/>
        </w:rPr>
        <w:t xml:space="preserve">                                    - </w:t>
      </w:r>
      <w:r w:rsidRPr="00381ACE">
        <w:rPr>
          <w:rFonts w:ascii="Times New Roman" w:hAnsi="Times New Roman"/>
          <w:sz w:val="20"/>
          <w:szCs w:val="20"/>
          <w:lang w:val="kk-KZ"/>
        </w:rPr>
        <w:t>секретарь  -                                               Айдабулова А. Н.</w:t>
      </w:r>
    </w:p>
    <w:p w:rsidR="00E12364" w:rsidRPr="00381ACE" w:rsidRDefault="00E12364" w:rsidP="00E12364">
      <w:pPr>
        <w:rPr>
          <w:rFonts w:ascii="Times New Roman" w:hAnsi="Times New Roman"/>
          <w:sz w:val="20"/>
          <w:szCs w:val="20"/>
          <w:lang w:val="kk-KZ"/>
        </w:rPr>
      </w:pPr>
    </w:p>
    <w:p w:rsidR="00AE37A8" w:rsidRPr="00381ACE" w:rsidRDefault="00AE37A8" w:rsidP="00E12364">
      <w:pPr>
        <w:rPr>
          <w:sz w:val="20"/>
          <w:szCs w:val="20"/>
        </w:rPr>
      </w:pPr>
    </w:p>
    <w:sectPr w:rsidR="00AE37A8" w:rsidRPr="00381ACE" w:rsidSect="00545829">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C1" w:rsidRDefault="00697FC1" w:rsidP="00233E55">
      <w:pPr>
        <w:spacing w:after="0" w:line="240" w:lineRule="auto"/>
      </w:pPr>
      <w:r>
        <w:separator/>
      </w:r>
    </w:p>
  </w:endnote>
  <w:endnote w:type="continuationSeparator" w:id="0">
    <w:p w:rsidR="00697FC1" w:rsidRDefault="00697FC1"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C1" w:rsidRDefault="00697FC1" w:rsidP="00233E55">
      <w:pPr>
        <w:spacing w:after="0" w:line="240" w:lineRule="auto"/>
      </w:pPr>
      <w:r>
        <w:separator/>
      </w:r>
    </w:p>
  </w:footnote>
  <w:footnote w:type="continuationSeparator" w:id="0">
    <w:p w:rsidR="00697FC1" w:rsidRDefault="00697FC1"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15:restartNumberingAfterBreak="0">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 w15:restartNumberingAfterBreak="0">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8" w15:restartNumberingAfterBreak="0">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12"/>
  </w:num>
  <w:num w:numId="7">
    <w:abstractNumId w:val="10"/>
  </w:num>
  <w:num w:numId="8">
    <w:abstractNumId w:val="0"/>
  </w:num>
  <w:num w:numId="9">
    <w:abstractNumId w:val="2"/>
  </w:num>
  <w:num w:numId="10">
    <w:abstractNumId w:val="11"/>
  </w:num>
  <w:num w:numId="11">
    <w:abstractNumId w:val="7"/>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61"/>
    <w:rsid w:val="00001824"/>
    <w:rsid w:val="00002E40"/>
    <w:rsid w:val="00002E91"/>
    <w:rsid w:val="00003A90"/>
    <w:rsid w:val="00007B9B"/>
    <w:rsid w:val="00010040"/>
    <w:rsid w:val="00011149"/>
    <w:rsid w:val="000119D4"/>
    <w:rsid w:val="000125B5"/>
    <w:rsid w:val="00012605"/>
    <w:rsid w:val="00012854"/>
    <w:rsid w:val="00020BA8"/>
    <w:rsid w:val="00020FAC"/>
    <w:rsid w:val="00021629"/>
    <w:rsid w:val="00022027"/>
    <w:rsid w:val="00024AF2"/>
    <w:rsid w:val="0002541F"/>
    <w:rsid w:val="0002582D"/>
    <w:rsid w:val="00025DD4"/>
    <w:rsid w:val="00027ECF"/>
    <w:rsid w:val="00030906"/>
    <w:rsid w:val="000319E7"/>
    <w:rsid w:val="000326DD"/>
    <w:rsid w:val="00032CC3"/>
    <w:rsid w:val="0003668F"/>
    <w:rsid w:val="00036742"/>
    <w:rsid w:val="000367F5"/>
    <w:rsid w:val="00036EBE"/>
    <w:rsid w:val="00041F75"/>
    <w:rsid w:val="000422DE"/>
    <w:rsid w:val="00047BC4"/>
    <w:rsid w:val="00050721"/>
    <w:rsid w:val="00052F24"/>
    <w:rsid w:val="00053997"/>
    <w:rsid w:val="00053BD8"/>
    <w:rsid w:val="00057ADD"/>
    <w:rsid w:val="00057E20"/>
    <w:rsid w:val="000613F4"/>
    <w:rsid w:val="00061C1A"/>
    <w:rsid w:val="00062274"/>
    <w:rsid w:val="00062746"/>
    <w:rsid w:val="00062C47"/>
    <w:rsid w:val="00062FE7"/>
    <w:rsid w:val="000632EA"/>
    <w:rsid w:val="00063617"/>
    <w:rsid w:val="00063A2B"/>
    <w:rsid w:val="000658C6"/>
    <w:rsid w:val="00067BCE"/>
    <w:rsid w:val="000713F0"/>
    <w:rsid w:val="000739F9"/>
    <w:rsid w:val="000774CC"/>
    <w:rsid w:val="00081063"/>
    <w:rsid w:val="00081E43"/>
    <w:rsid w:val="000833B8"/>
    <w:rsid w:val="00083C1B"/>
    <w:rsid w:val="000840DC"/>
    <w:rsid w:val="00085214"/>
    <w:rsid w:val="00085A59"/>
    <w:rsid w:val="00086D47"/>
    <w:rsid w:val="00087170"/>
    <w:rsid w:val="00091751"/>
    <w:rsid w:val="00094D35"/>
    <w:rsid w:val="00096B0B"/>
    <w:rsid w:val="00096EB9"/>
    <w:rsid w:val="000A3AE4"/>
    <w:rsid w:val="000A473E"/>
    <w:rsid w:val="000A7605"/>
    <w:rsid w:val="000B5626"/>
    <w:rsid w:val="000B7628"/>
    <w:rsid w:val="000C3528"/>
    <w:rsid w:val="000C5183"/>
    <w:rsid w:val="000C6CBA"/>
    <w:rsid w:val="000D1B03"/>
    <w:rsid w:val="000D2622"/>
    <w:rsid w:val="000D305E"/>
    <w:rsid w:val="000D34A5"/>
    <w:rsid w:val="000D499A"/>
    <w:rsid w:val="000D501E"/>
    <w:rsid w:val="000D662E"/>
    <w:rsid w:val="000D7AF2"/>
    <w:rsid w:val="000E3A4B"/>
    <w:rsid w:val="000E458F"/>
    <w:rsid w:val="000E46BC"/>
    <w:rsid w:val="000E5587"/>
    <w:rsid w:val="000E6C3C"/>
    <w:rsid w:val="000E7222"/>
    <w:rsid w:val="000F4388"/>
    <w:rsid w:val="000F7ECB"/>
    <w:rsid w:val="001013DE"/>
    <w:rsid w:val="001035B3"/>
    <w:rsid w:val="00103C67"/>
    <w:rsid w:val="0010506E"/>
    <w:rsid w:val="0010555B"/>
    <w:rsid w:val="001059BD"/>
    <w:rsid w:val="001070CF"/>
    <w:rsid w:val="001079D5"/>
    <w:rsid w:val="00107AF3"/>
    <w:rsid w:val="00110DA4"/>
    <w:rsid w:val="00111E13"/>
    <w:rsid w:val="0011224C"/>
    <w:rsid w:val="00112A37"/>
    <w:rsid w:val="00112D2D"/>
    <w:rsid w:val="00114A31"/>
    <w:rsid w:val="00115BFB"/>
    <w:rsid w:val="0011629A"/>
    <w:rsid w:val="00116D1E"/>
    <w:rsid w:val="001172BC"/>
    <w:rsid w:val="00120D47"/>
    <w:rsid w:val="0012156A"/>
    <w:rsid w:val="001230FA"/>
    <w:rsid w:val="00123294"/>
    <w:rsid w:val="001237B6"/>
    <w:rsid w:val="00123855"/>
    <w:rsid w:val="0012524F"/>
    <w:rsid w:val="00125376"/>
    <w:rsid w:val="001329BE"/>
    <w:rsid w:val="00133480"/>
    <w:rsid w:val="0013365A"/>
    <w:rsid w:val="00133976"/>
    <w:rsid w:val="0013442F"/>
    <w:rsid w:val="00134C2F"/>
    <w:rsid w:val="001359F3"/>
    <w:rsid w:val="00135FF0"/>
    <w:rsid w:val="00140030"/>
    <w:rsid w:val="0014035A"/>
    <w:rsid w:val="00140471"/>
    <w:rsid w:val="00147DC5"/>
    <w:rsid w:val="0015097C"/>
    <w:rsid w:val="00152173"/>
    <w:rsid w:val="00153F44"/>
    <w:rsid w:val="00154E15"/>
    <w:rsid w:val="00156906"/>
    <w:rsid w:val="00160440"/>
    <w:rsid w:val="001648BE"/>
    <w:rsid w:val="00166E01"/>
    <w:rsid w:val="001711E8"/>
    <w:rsid w:val="00172523"/>
    <w:rsid w:val="00174135"/>
    <w:rsid w:val="0017773C"/>
    <w:rsid w:val="00177CB2"/>
    <w:rsid w:val="00180B93"/>
    <w:rsid w:val="00181C76"/>
    <w:rsid w:val="00182096"/>
    <w:rsid w:val="00182F8B"/>
    <w:rsid w:val="00183AD0"/>
    <w:rsid w:val="0018473F"/>
    <w:rsid w:val="00185501"/>
    <w:rsid w:val="001857B8"/>
    <w:rsid w:val="00186018"/>
    <w:rsid w:val="001905E7"/>
    <w:rsid w:val="0019509D"/>
    <w:rsid w:val="001952A7"/>
    <w:rsid w:val="00195741"/>
    <w:rsid w:val="00196163"/>
    <w:rsid w:val="001A0C65"/>
    <w:rsid w:val="001A13C5"/>
    <w:rsid w:val="001A2E98"/>
    <w:rsid w:val="001A3491"/>
    <w:rsid w:val="001A729A"/>
    <w:rsid w:val="001A799A"/>
    <w:rsid w:val="001B1529"/>
    <w:rsid w:val="001B1C04"/>
    <w:rsid w:val="001B28A9"/>
    <w:rsid w:val="001B2B17"/>
    <w:rsid w:val="001B3552"/>
    <w:rsid w:val="001B3B5C"/>
    <w:rsid w:val="001B3E38"/>
    <w:rsid w:val="001B4FFD"/>
    <w:rsid w:val="001B7D13"/>
    <w:rsid w:val="001C0705"/>
    <w:rsid w:val="001C0927"/>
    <w:rsid w:val="001C56EE"/>
    <w:rsid w:val="001C652E"/>
    <w:rsid w:val="001C6926"/>
    <w:rsid w:val="001C7C6E"/>
    <w:rsid w:val="001C7FED"/>
    <w:rsid w:val="001D1518"/>
    <w:rsid w:val="001D1C31"/>
    <w:rsid w:val="001D75B9"/>
    <w:rsid w:val="001D7BCA"/>
    <w:rsid w:val="001E3165"/>
    <w:rsid w:val="001E3307"/>
    <w:rsid w:val="001E334C"/>
    <w:rsid w:val="001E6334"/>
    <w:rsid w:val="001E73BE"/>
    <w:rsid w:val="001E7834"/>
    <w:rsid w:val="001F1A04"/>
    <w:rsid w:val="001F2957"/>
    <w:rsid w:val="001F5915"/>
    <w:rsid w:val="00200B38"/>
    <w:rsid w:val="0020250F"/>
    <w:rsid w:val="0020301F"/>
    <w:rsid w:val="002045EC"/>
    <w:rsid w:val="00204788"/>
    <w:rsid w:val="00205CEB"/>
    <w:rsid w:val="002107C7"/>
    <w:rsid w:val="00210BBA"/>
    <w:rsid w:val="002162BE"/>
    <w:rsid w:val="00220AC5"/>
    <w:rsid w:val="0022105E"/>
    <w:rsid w:val="002228C8"/>
    <w:rsid w:val="002232E1"/>
    <w:rsid w:val="00223A69"/>
    <w:rsid w:val="002254D3"/>
    <w:rsid w:val="00225925"/>
    <w:rsid w:val="002273E4"/>
    <w:rsid w:val="00233E55"/>
    <w:rsid w:val="002350A5"/>
    <w:rsid w:val="0023610D"/>
    <w:rsid w:val="00236455"/>
    <w:rsid w:val="00244A2B"/>
    <w:rsid w:val="00245EB2"/>
    <w:rsid w:val="00246A36"/>
    <w:rsid w:val="00247088"/>
    <w:rsid w:val="0025049E"/>
    <w:rsid w:val="002505B7"/>
    <w:rsid w:val="002511DE"/>
    <w:rsid w:val="00255870"/>
    <w:rsid w:val="002577DF"/>
    <w:rsid w:val="00262376"/>
    <w:rsid w:val="00262A3F"/>
    <w:rsid w:val="00265964"/>
    <w:rsid w:val="00266620"/>
    <w:rsid w:val="002673E0"/>
    <w:rsid w:val="0026756B"/>
    <w:rsid w:val="00267CA7"/>
    <w:rsid w:val="0027423E"/>
    <w:rsid w:val="002767A8"/>
    <w:rsid w:val="00280093"/>
    <w:rsid w:val="002816FA"/>
    <w:rsid w:val="00282035"/>
    <w:rsid w:val="00282B79"/>
    <w:rsid w:val="00283A5E"/>
    <w:rsid w:val="002909ED"/>
    <w:rsid w:val="0029244C"/>
    <w:rsid w:val="00292665"/>
    <w:rsid w:val="0029368C"/>
    <w:rsid w:val="0029614C"/>
    <w:rsid w:val="002A5F70"/>
    <w:rsid w:val="002A75C8"/>
    <w:rsid w:val="002A7732"/>
    <w:rsid w:val="002A78CB"/>
    <w:rsid w:val="002A7FF0"/>
    <w:rsid w:val="002B137F"/>
    <w:rsid w:val="002B24A9"/>
    <w:rsid w:val="002B2524"/>
    <w:rsid w:val="002B3253"/>
    <w:rsid w:val="002B3B7B"/>
    <w:rsid w:val="002B3E06"/>
    <w:rsid w:val="002B4E63"/>
    <w:rsid w:val="002B6A80"/>
    <w:rsid w:val="002C0060"/>
    <w:rsid w:val="002C2E86"/>
    <w:rsid w:val="002C6A1D"/>
    <w:rsid w:val="002C6DA5"/>
    <w:rsid w:val="002D1AD3"/>
    <w:rsid w:val="002D21D0"/>
    <w:rsid w:val="002D26B0"/>
    <w:rsid w:val="002D3955"/>
    <w:rsid w:val="002D3CC8"/>
    <w:rsid w:val="002D4543"/>
    <w:rsid w:val="002D692D"/>
    <w:rsid w:val="002D7276"/>
    <w:rsid w:val="002E02A7"/>
    <w:rsid w:val="002E0384"/>
    <w:rsid w:val="002E243F"/>
    <w:rsid w:val="002E319A"/>
    <w:rsid w:val="002E3402"/>
    <w:rsid w:val="002E4958"/>
    <w:rsid w:val="002E7847"/>
    <w:rsid w:val="002F3545"/>
    <w:rsid w:val="002F4095"/>
    <w:rsid w:val="002F4A01"/>
    <w:rsid w:val="002F588B"/>
    <w:rsid w:val="002F66EA"/>
    <w:rsid w:val="002F676B"/>
    <w:rsid w:val="002F789D"/>
    <w:rsid w:val="002F7EB1"/>
    <w:rsid w:val="00302343"/>
    <w:rsid w:val="003025E1"/>
    <w:rsid w:val="00303454"/>
    <w:rsid w:val="00305605"/>
    <w:rsid w:val="003060D2"/>
    <w:rsid w:val="0030700E"/>
    <w:rsid w:val="00311C30"/>
    <w:rsid w:val="00313315"/>
    <w:rsid w:val="00313850"/>
    <w:rsid w:val="00313A58"/>
    <w:rsid w:val="0031584E"/>
    <w:rsid w:val="00315AC6"/>
    <w:rsid w:val="00315CE5"/>
    <w:rsid w:val="00316EE0"/>
    <w:rsid w:val="00317BC0"/>
    <w:rsid w:val="00320AF9"/>
    <w:rsid w:val="0032392E"/>
    <w:rsid w:val="00323FC5"/>
    <w:rsid w:val="0032424E"/>
    <w:rsid w:val="003254A8"/>
    <w:rsid w:val="00327607"/>
    <w:rsid w:val="003301C9"/>
    <w:rsid w:val="003305B1"/>
    <w:rsid w:val="003320F4"/>
    <w:rsid w:val="0033508B"/>
    <w:rsid w:val="00337946"/>
    <w:rsid w:val="00337F45"/>
    <w:rsid w:val="00341AF5"/>
    <w:rsid w:val="00346065"/>
    <w:rsid w:val="00350556"/>
    <w:rsid w:val="00350ABE"/>
    <w:rsid w:val="00351200"/>
    <w:rsid w:val="00351812"/>
    <w:rsid w:val="0035200A"/>
    <w:rsid w:val="00354475"/>
    <w:rsid w:val="0035449D"/>
    <w:rsid w:val="003558E9"/>
    <w:rsid w:val="003562F8"/>
    <w:rsid w:val="00356F25"/>
    <w:rsid w:val="0036348B"/>
    <w:rsid w:val="00363AA2"/>
    <w:rsid w:val="003644F5"/>
    <w:rsid w:val="00365A0E"/>
    <w:rsid w:val="003721CF"/>
    <w:rsid w:val="0037276F"/>
    <w:rsid w:val="003729BC"/>
    <w:rsid w:val="00372C28"/>
    <w:rsid w:val="0037553D"/>
    <w:rsid w:val="003764A2"/>
    <w:rsid w:val="00381ACE"/>
    <w:rsid w:val="0038376F"/>
    <w:rsid w:val="00385144"/>
    <w:rsid w:val="003861BD"/>
    <w:rsid w:val="00387647"/>
    <w:rsid w:val="003905CC"/>
    <w:rsid w:val="00391721"/>
    <w:rsid w:val="00391BC6"/>
    <w:rsid w:val="003926DB"/>
    <w:rsid w:val="00392B20"/>
    <w:rsid w:val="00395A49"/>
    <w:rsid w:val="003A14DC"/>
    <w:rsid w:val="003A2095"/>
    <w:rsid w:val="003A2575"/>
    <w:rsid w:val="003A2D97"/>
    <w:rsid w:val="003A341B"/>
    <w:rsid w:val="003A3999"/>
    <w:rsid w:val="003A5231"/>
    <w:rsid w:val="003A5629"/>
    <w:rsid w:val="003A724F"/>
    <w:rsid w:val="003A7AAD"/>
    <w:rsid w:val="003B0A96"/>
    <w:rsid w:val="003B14EF"/>
    <w:rsid w:val="003B1F3F"/>
    <w:rsid w:val="003B391D"/>
    <w:rsid w:val="003B40E8"/>
    <w:rsid w:val="003B5FE7"/>
    <w:rsid w:val="003B6027"/>
    <w:rsid w:val="003B6BAB"/>
    <w:rsid w:val="003B7033"/>
    <w:rsid w:val="003C0040"/>
    <w:rsid w:val="003C0617"/>
    <w:rsid w:val="003C28D5"/>
    <w:rsid w:val="003C2EA2"/>
    <w:rsid w:val="003C4C90"/>
    <w:rsid w:val="003C4C91"/>
    <w:rsid w:val="003C4E93"/>
    <w:rsid w:val="003C5ABB"/>
    <w:rsid w:val="003C5AD6"/>
    <w:rsid w:val="003C61F9"/>
    <w:rsid w:val="003C6EF6"/>
    <w:rsid w:val="003C6FA1"/>
    <w:rsid w:val="003C783A"/>
    <w:rsid w:val="003D2463"/>
    <w:rsid w:val="003D2D54"/>
    <w:rsid w:val="003D5040"/>
    <w:rsid w:val="003D7077"/>
    <w:rsid w:val="003E15D2"/>
    <w:rsid w:val="003E17B1"/>
    <w:rsid w:val="003E248A"/>
    <w:rsid w:val="003E423A"/>
    <w:rsid w:val="003E5DE1"/>
    <w:rsid w:val="003F17D8"/>
    <w:rsid w:val="003F1F6A"/>
    <w:rsid w:val="003F24CF"/>
    <w:rsid w:val="003F3627"/>
    <w:rsid w:val="003F37AD"/>
    <w:rsid w:val="003F586A"/>
    <w:rsid w:val="003F63D5"/>
    <w:rsid w:val="00401711"/>
    <w:rsid w:val="00401BCA"/>
    <w:rsid w:val="00402E10"/>
    <w:rsid w:val="00403100"/>
    <w:rsid w:val="00404696"/>
    <w:rsid w:val="00410D7C"/>
    <w:rsid w:val="00410ECE"/>
    <w:rsid w:val="00411970"/>
    <w:rsid w:val="00411CD9"/>
    <w:rsid w:val="004122B5"/>
    <w:rsid w:val="004138B4"/>
    <w:rsid w:val="00414376"/>
    <w:rsid w:val="004148F6"/>
    <w:rsid w:val="0041517C"/>
    <w:rsid w:val="004177F6"/>
    <w:rsid w:val="0042171A"/>
    <w:rsid w:val="0042276E"/>
    <w:rsid w:val="00422E6D"/>
    <w:rsid w:val="00422EDB"/>
    <w:rsid w:val="00425C2A"/>
    <w:rsid w:val="00426143"/>
    <w:rsid w:val="004262AA"/>
    <w:rsid w:val="00430A60"/>
    <w:rsid w:val="00441A5C"/>
    <w:rsid w:val="00441F96"/>
    <w:rsid w:val="004433A2"/>
    <w:rsid w:val="0044435B"/>
    <w:rsid w:val="0044445E"/>
    <w:rsid w:val="0044452F"/>
    <w:rsid w:val="004511F7"/>
    <w:rsid w:val="00453D28"/>
    <w:rsid w:val="0045431B"/>
    <w:rsid w:val="00454E23"/>
    <w:rsid w:val="00455FB7"/>
    <w:rsid w:val="00462916"/>
    <w:rsid w:val="00467848"/>
    <w:rsid w:val="00470A5C"/>
    <w:rsid w:val="004729F1"/>
    <w:rsid w:val="004736A5"/>
    <w:rsid w:val="00473C18"/>
    <w:rsid w:val="004761D7"/>
    <w:rsid w:val="00476389"/>
    <w:rsid w:val="004763AA"/>
    <w:rsid w:val="00481504"/>
    <w:rsid w:val="00483E50"/>
    <w:rsid w:val="004877B3"/>
    <w:rsid w:val="004906D9"/>
    <w:rsid w:val="00490E5D"/>
    <w:rsid w:val="00491B4A"/>
    <w:rsid w:val="00494A16"/>
    <w:rsid w:val="00497580"/>
    <w:rsid w:val="004A03F1"/>
    <w:rsid w:val="004A0EC8"/>
    <w:rsid w:val="004A582E"/>
    <w:rsid w:val="004B0A59"/>
    <w:rsid w:val="004B1B3B"/>
    <w:rsid w:val="004B2F52"/>
    <w:rsid w:val="004B31FA"/>
    <w:rsid w:val="004B404F"/>
    <w:rsid w:val="004B67CF"/>
    <w:rsid w:val="004C09A1"/>
    <w:rsid w:val="004C2BD1"/>
    <w:rsid w:val="004C2F1E"/>
    <w:rsid w:val="004C50A2"/>
    <w:rsid w:val="004C557A"/>
    <w:rsid w:val="004C6BD5"/>
    <w:rsid w:val="004C6DBE"/>
    <w:rsid w:val="004D0D99"/>
    <w:rsid w:val="004D14F8"/>
    <w:rsid w:val="004D1CCF"/>
    <w:rsid w:val="004D2533"/>
    <w:rsid w:val="004D6288"/>
    <w:rsid w:val="004D665F"/>
    <w:rsid w:val="004D69B1"/>
    <w:rsid w:val="004D73FE"/>
    <w:rsid w:val="004E1000"/>
    <w:rsid w:val="004E3D37"/>
    <w:rsid w:val="004E4DFC"/>
    <w:rsid w:val="004F01EC"/>
    <w:rsid w:val="004F13AA"/>
    <w:rsid w:val="004F1E0B"/>
    <w:rsid w:val="004F2D5D"/>
    <w:rsid w:val="004F4677"/>
    <w:rsid w:val="004F4F81"/>
    <w:rsid w:val="004F553D"/>
    <w:rsid w:val="004F5B3A"/>
    <w:rsid w:val="004F64C4"/>
    <w:rsid w:val="004F6984"/>
    <w:rsid w:val="004F7100"/>
    <w:rsid w:val="004F7F9E"/>
    <w:rsid w:val="00504BAA"/>
    <w:rsid w:val="0050618E"/>
    <w:rsid w:val="00506764"/>
    <w:rsid w:val="0050751B"/>
    <w:rsid w:val="005108B4"/>
    <w:rsid w:val="00511956"/>
    <w:rsid w:val="00511A3A"/>
    <w:rsid w:val="00511DCA"/>
    <w:rsid w:val="0051314C"/>
    <w:rsid w:val="005166C1"/>
    <w:rsid w:val="00517316"/>
    <w:rsid w:val="00517895"/>
    <w:rsid w:val="00521DB3"/>
    <w:rsid w:val="00522526"/>
    <w:rsid w:val="0052322C"/>
    <w:rsid w:val="00523B62"/>
    <w:rsid w:val="00525FF8"/>
    <w:rsid w:val="005262A5"/>
    <w:rsid w:val="00526FAF"/>
    <w:rsid w:val="00527D61"/>
    <w:rsid w:val="0053363F"/>
    <w:rsid w:val="00535249"/>
    <w:rsid w:val="005355D4"/>
    <w:rsid w:val="00535795"/>
    <w:rsid w:val="00535E8E"/>
    <w:rsid w:val="00536AC5"/>
    <w:rsid w:val="0054076E"/>
    <w:rsid w:val="00540E4D"/>
    <w:rsid w:val="00541496"/>
    <w:rsid w:val="00545619"/>
    <w:rsid w:val="00545829"/>
    <w:rsid w:val="0054583F"/>
    <w:rsid w:val="00547678"/>
    <w:rsid w:val="00550251"/>
    <w:rsid w:val="0055185A"/>
    <w:rsid w:val="005524DA"/>
    <w:rsid w:val="005544DF"/>
    <w:rsid w:val="00554F7C"/>
    <w:rsid w:val="00555C3E"/>
    <w:rsid w:val="00556011"/>
    <w:rsid w:val="005564BB"/>
    <w:rsid w:val="0055728D"/>
    <w:rsid w:val="00560F41"/>
    <w:rsid w:val="0056148F"/>
    <w:rsid w:val="00562345"/>
    <w:rsid w:val="00565EF4"/>
    <w:rsid w:val="00566F0C"/>
    <w:rsid w:val="00583DD6"/>
    <w:rsid w:val="005840D6"/>
    <w:rsid w:val="00587136"/>
    <w:rsid w:val="005903FB"/>
    <w:rsid w:val="00592611"/>
    <w:rsid w:val="00594568"/>
    <w:rsid w:val="005947F1"/>
    <w:rsid w:val="00595A72"/>
    <w:rsid w:val="00595DF2"/>
    <w:rsid w:val="00597FB7"/>
    <w:rsid w:val="005A5023"/>
    <w:rsid w:val="005A59B8"/>
    <w:rsid w:val="005A6FE7"/>
    <w:rsid w:val="005A6FEC"/>
    <w:rsid w:val="005B329B"/>
    <w:rsid w:val="005B444F"/>
    <w:rsid w:val="005B48D4"/>
    <w:rsid w:val="005B7551"/>
    <w:rsid w:val="005B787E"/>
    <w:rsid w:val="005C19A7"/>
    <w:rsid w:val="005C4961"/>
    <w:rsid w:val="005C5BFD"/>
    <w:rsid w:val="005C63BE"/>
    <w:rsid w:val="005C6FBD"/>
    <w:rsid w:val="005D165A"/>
    <w:rsid w:val="005D19C6"/>
    <w:rsid w:val="005D2C3D"/>
    <w:rsid w:val="005D494E"/>
    <w:rsid w:val="005D5D0A"/>
    <w:rsid w:val="005D6576"/>
    <w:rsid w:val="005D6F10"/>
    <w:rsid w:val="005D7E77"/>
    <w:rsid w:val="005E2299"/>
    <w:rsid w:val="005E2FE9"/>
    <w:rsid w:val="005E326A"/>
    <w:rsid w:val="005E6238"/>
    <w:rsid w:val="005E63EC"/>
    <w:rsid w:val="005F5AD8"/>
    <w:rsid w:val="005F5DB0"/>
    <w:rsid w:val="005F5EFC"/>
    <w:rsid w:val="005F6344"/>
    <w:rsid w:val="005F6462"/>
    <w:rsid w:val="005F7638"/>
    <w:rsid w:val="00601C49"/>
    <w:rsid w:val="00603953"/>
    <w:rsid w:val="00605879"/>
    <w:rsid w:val="00610849"/>
    <w:rsid w:val="00613508"/>
    <w:rsid w:val="00613902"/>
    <w:rsid w:val="0061398A"/>
    <w:rsid w:val="006143BD"/>
    <w:rsid w:val="0061730F"/>
    <w:rsid w:val="00621595"/>
    <w:rsid w:val="00622BE3"/>
    <w:rsid w:val="0062388D"/>
    <w:rsid w:val="00627308"/>
    <w:rsid w:val="006273E6"/>
    <w:rsid w:val="0063165E"/>
    <w:rsid w:val="00632253"/>
    <w:rsid w:val="00634E6E"/>
    <w:rsid w:val="006360CE"/>
    <w:rsid w:val="006376D1"/>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16DE"/>
    <w:rsid w:val="00651F3F"/>
    <w:rsid w:val="00652DFC"/>
    <w:rsid w:val="00654985"/>
    <w:rsid w:val="00660B53"/>
    <w:rsid w:val="00661852"/>
    <w:rsid w:val="00661C84"/>
    <w:rsid w:val="006647F1"/>
    <w:rsid w:val="00665B6B"/>
    <w:rsid w:val="00670D46"/>
    <w:rsid w:val="00672192"/>
    <w:rsid w:val="00672CA6"/>
    <w:rsid w:val="00676B83"/>
    <w:rsid w:val="00676E9D"/>
    <w:rsid w:val="00681C76"/>
    <w:rsid w:val="006831E0"/>
    <w:rsid w:val="00683CB1"/>
    <w:rsid w:val="00684106"/>
    <w:rsid w:val="00685290"/>
    <w:rsid w:val="00685DF0"/>
    <w:rsid w:val="00686E3C"/>
    <w:rsid w:val="00691650"/>
    <w:rsid w:val="0069265C"/>
    <w:rsid w:val="00693C16"/>
    <w:rsid w:val="00694C53"/>
    <w:rsid w:val="00695150"/>
    <w:rsid w:val="00697044"/>
    <w:rsid w:val="00697FC1"/>
    <w:rsid w:val="00697FCA"/>
    <w:rsid w:val="006A0437"/>
    <w:rsid w:val="006A0A37"/>
    <w:rsid w:val="006A1DAF"/>
    <w:rsid w:val="006A1E66"/>
    <w:rsid w:val="006A3088"/>
    <w:rsid w:val="006A3170"/>
    <w:rsid w:val="006A3D8D"/>
    <w:rsid w:val="006A5C04"/>
    <w:rsid w:val="006A5D8B"/>
    <w:rsid w:val="006A6141"/>
    <w:rsid w:val="006B1A44"/>
    <w:rsid w:val="006B1F8C"/>
    <w:rsid w:val="006B2D24"/>
    <w:rsid w:val="006B3977"/>
    <w:rsid w:val="006B49F7"/>
    <w:rsid w:val="006B5BA9"/>
    <w:rsid w:val="006B5F8A"/>
    <w:rsid w:val="006B61AD"/>
    <w:rsid w:val="006B685F"/>
    <w:rsid w:val="006B7235"/>
    <w:rsid w:val="006C3352"/>
    <w:rsid w:val="006C55F3"/>
    <w:rsid w:val="006D1C2F"/>
    <w:rsid w:val="006D2837"/>
    <w:rsid w:val="006D2952"/>
    <w:rsid w:val="006D2B91"/>
    <w:rsid w:val="006D74C2"/>
    <w:rsid w:val="006D7F45"/>
    <w:rsid w:val="006E0BAC"/>
    <w:rsid w:val="006E13C7"/>
    <w:rsid w:val="006E5084"/>
    <w:rsid w:val="006E5A7E"/>
    <w:rsid w:val="006F2495"/>
    <w:rsid w:val="006F2B69"/>
    <w:rsid w:val="006F366C"/>
    <w:rsid w:val="006F399F"/>
    <w:rsid w:val="006F7102"/>
    <w:rsid w:val="006F72EE"/>
    <w:rsid w:val="006F738D"/>
    <w:rsid w:val="0070013D"/>
    <w:rsid w:val="00701371"/>
    <w:rsid w:val="00701C75"/>
    <w:rsid w:val="00703EA5"/>
    <w:rsid w:val="00704BE9"/>
    <w:rsid w:val="0071057F"/>
    <w:rsid w:val="007110C8"/>
    <w:rsid w:val="00711BC0"/>
    <w:rsid w:val="00712CA0"/>
    <w:rsid w:val="00713F15"/>
    <w:rsid w:val="007146B2"/>
    <w:rsid w:val="0071490E"/>
    <w:rsid w:val="00714B97"/>
    <w:rsid w:val="00716947"/>
    <w:rsid w:val="007169EE"/>
    <w:rsid w:val="00716B8E"/>
    <w:rsid w:val="00716BBF"/>
    <w:rsid w:val="00720C75"/>
    <w:rsid w:val="007210BC"/>
    <w:rsid w:val="007210CE"/>
    <w:rsid w:val="00722325"/>
    <w:rsid w:val="00724803"/>
    <w:rsid w:val="00725ED1"/>
    <w:rsid w:val="007270B6"/>
    <w:rsid w:val="00730757"/>
    <w:rsid w:val="00730DC2"/>
    <w:rsid w:val="00732943"/>
    <w:rsid w:val="00732C8B"/>
    <w:rsid w:val="00734E3D"/>
    <w:rsid w:val="0073713D"/>
    <w:rsid w:val="0073784B"/>
    <w:rsid w:val="007421DF"/>
    <w:rsid w:val="00742925"/>
    <w:rsid w:val="00746023"/>
    <w:rsid w:val="00747E39"/>
    <w:rsid w:val="00750B9A"/>
    <w:rsid w:val="007518F6"/>
    <w:rsid w:val="007520DC"/>
    <w:rsid w:val="007525AA"/>
    <w:rsid w:val="00752807"/>
    <w:rsid w:val="00757911"/>
    <w:rsid w:val="007602E1"/>
    <w:rsid w:val="00762656"/>
    <w:rsid w:val="00763FE6"/>
    <w:rsid w:val="00771FFB"/>
    <w:rsid w:val="007739CD"/>
    <w:rsid w:val="00775566"/>
    <w:rsid w:val="007756A9"/>
    <w:rsid w:val="00777200"/>
    <w:rsid w:val="0077758E"/>
    <w:rsid w:val="00777642"/>
    <w:rsid w:val="00777B24"/>
    <w:rsid w:val="0078199D"/>
    <w:rsid w:val="007825A6"/>
    <w:rsid w:val="00783AF4"/>
    <w:rsid w:val="00784C0B"/>
    <w:rsid w:val="00784F1C"/>
    <w:rsid w:val="007855B0"/>
    <w:rsid w:val="00785ED0"/>
    <w:rsid w:val="0078660C"/>
    <w:rsid w:val="00790F85"/>
    <w:rsid w:val="00791CE8"/>
    <w:rsid w:val="007939D1"/>
    <w:rsid w:val="00793D3B"/>
    <w:rsid w:val="00794DD1"/>
    <w:rsid w:val="0079543C"/>
    <w:rsid w:val="00795AAB"/>
    <w:rsid w:val="007A12CE"/>
    <w:rsid w:val="007A2AF9"/>
    <w:rsid w:val="007A2B9D"/>
    <w:rsid w:val="007A3328"/>
    <w:rsid w:val="007A43A2"/>
    <w:rsid w:val="007A5905"/>
    <w:rsid w:val="007A5EEC"/>
    <w:rsid w:val="007A6620"/>
    <w:rsid w:val="007B0135"/>
    <w:rsid w:val="007B1E6A"/>
    <w:rsid w:val="007B40CB"/>
    <w:rsid w:val="007B411A"/>
    <w:rsid w:val="007B4202"/>
    <w:rsid w:val="007B4281"/>
    <w:rsid w:val="007B43C5"/>
    <w:rsid w:val="007B5EF3"/>
    <w:rsid w:val="007C1564"/>
    <w:rsid w:val="007C2D0D"/>
    <w:rsid w:val="007C3C31"/>
    <w:rsid w:val="007C781F"/>
    <w:rsid w:val="007D02A9"/>
    <w:rsid w:val="007D4875"/>
    <w:rsid w:val="007E185F"/>
    <w:rsid w:val="007E1FB2"/>
    <w:rsid w:val="007E2A82"/>
    <w:rsid w:val="007E54E3"/>
    <w:rsid w:val="007E6646"/>
    <w:rsid w:val="007E6661"/>
    <w:rsid w:val="007F03D7"/>
    <w:rsid w:val="007F2499"/>
    <w:rsid w:val="007F40D4"/>
    <w:rsid w:val="007F4BE5"/>
    <w:rsid w:val="007F64A3"/>
    <w:rsid w:val="00800441"/>
    <w:rsid w:val="00801913"/>
    <w:rsid w:val="008023A1"/>
    <w:rsid w:val="00802BE8"/>
    <w:rsid w:val="00804035"/>
    <w:rsid w:val="00804322"/>
    <w:rsid w:val="00806322"/>
    <w:rsid w:val="008065CA"/>
    <w:rsid w:val="00807C95"/>
    <w:rsid w:val="008110A9"/>
    <w:rsid w:val="00811368"/>
    <w:rsid w:val="0081164B"/>
    <w:rsid w:val="00812F8E"/>
    <w:rsid w:val="008165D6"/>
    <w:rsid w:val="008170B2"/>
    <w:rsid w:val="00817AC8"/>
    <w:rsid w:val="0082198E"/>
    <w:rsid w:val="00821ACA"/>
    <w:rsid w:val="00822615"/>
    <w:rsid w:val="00822D7A"/>
    <w:rsid w:val="00823619"/>
    <w:rsid w:val="0082617A"/>
    <w:rsid w:val="008273F2"/>
    <w:rsid w:val="00830528"/>
    <w:rsid w:val="00830AB8"/>
    <w:rsid w:val="008331EC"/>
    <w:rsid w:val="008351B4"/>
    <w:rsid w:val="008359EC"/>
    <w:rsid w:val="00835C08"/>
    <w:rsid w:val="00835C43"/>
    <w:rsid w:val="00836727"/>
    <w:rsid w:val="00841BB2"/>
    <w:rsid w:val="00843B47"/>
    <w:rsid w:val="00843C91"/>
    <w:rsid w:val="008441E4"/>
    <w:rsid w:val="00845C48"/>
    <w:rsid w:val="0084630D"/>
    <w:rsid w:val="00847823"/>
    <w:rsid w:val="008527EE"/>
    <w:rsid w:val="0085581E"/>
    <w:rsid w:val="0085777B"/>
    <w:rsid w:val="00860F61"/>
    <w:rsid w:val="008626ED"/>
    <w:rsid w:val="008628B7"/>
    <w:rsid w:val="00864456"/>
    <w:rsid w:val="00865A52"/>
    <w:rsid w:val="008670B2"/>
    <w:rsid w:val="00870231"/>
    <w:rsid w:val="008724FE"/>
    <w:rsid w:val="00873D9B"/>
    <w:rsid w:val="00875885"/>
    <w:rsid w:val="0088036B"/>
    <w:rsid w:val="00881A22"/>
    <w:rsid w:val="00882D3D"/>
    <w:rsid w:val="00886255"/>
    <w:rsid w:val="00886925"/>
    <w:rsid w:val="00887A2D"/>
    <w:rsid w:val="00890347"/>
    <w:rsid w:val="00890B9B"/>
    <w:rsid w:val="00894722"/>
    <w:rsid w:val="00894C50"/>
    <w:rsid w:val="00894F76"/>
    <w:rsid w:val="008966CD"/>
    <w:rsid w:val="008A012A"/>
    <w:rsid w:val="008A12D9"/>
    <w:rsid w:val="008A1D8F"/>
    <w:rsid w:val="008A51A3"/>
    <w:rsid w:val="008B0215"/>
    <w:rsid w:val="008B0298"/>
    <w:rsid w:val="008B1FBC"/>
    <w:rsid w:val="008C0DEC"/>
    <w:rsid w:val="008C17AD"/>
    <w:rsid w:val="008C5911"/>
    <w:rsid w:val="008C6836"/>
    <w:rsid w:val="008C68AB"/>
    <w:rsid w:val="008C730C"/>
    <w:rsid w:val="008D0DE4"/>
    <w:rsid w:val="008D4322"/>
    <w:rsid w:val="008D4DF2"/>
    <w:rsid w:val="008D5582"/>
    <w:rsid w:val="008E046B"/>
    <w:rsid w:val="008E0F14"/>
    <w:rsid w:val="008E135A"/>
    <w:rsid w:val="008E1804"/>
    <w:rsid w:val="008E21E3"/>
    <w:rsid w:val="008E27B0"/>
    <w:rsid w:val="008E4805"/>
    <w:rsid w:val="008E4E92"/>
    <w:rsid w:val="008E5F2D"/>
    <w:rsid w:val="008E60C8"/>
    <w:rsid w:val="008E749B"/>
    <w:rsid w:val="008E7FCF"/>
    <w:rsid w:val="008F0821"/>
    <w:rsid w:val="008F137A"/>
    <w:rsid w:val="008F60B1"/>
    <w:rsid w:val="008F61AD"/>
    <w:rsid w:val="009001CE"/>
    <w:rsid w:val="00901B17"/>
    <w:rsid w:val="00901DA6"/>
    <w:rsid w:val="00903A6D"/>
    <w:rsid w:val="009042CF"/>
    <w:rsid w:val="009046DF"/>
    <w:rsid w:val="009069D1"/>
    <w:rsid w:val="00906D44"/>
    <w:rsid w:val="0091014E"/>
    <w:rsid w:val="00910F0A"/>
    <w:rsid w:val="00912104"/>
    <w:rsid w:val="00912F8D"/>
    <w:rsid w:val="009137F8"/>
    <w:rsid w:val="00914118"/>
    <w:rsid w:val="00914322"/>
    <w:rsid w:val="00916DAF"/>
    <w:rsid w:val="0092056C"/>
    <w:rsid w:val="00921ADF"/>
    <w:rsid w:val="0092228A"/>
    <w:rsid w:val="00922AD5"/>
    <w:rsid w:val="009241D6"/>
    <w:rsid w:val="009245AE"/>
    <w:rsid w:val="00931609"/>
    <w:rsid w:val="00931E92"/>
    <w:rsid w:val="00932795"/>
    <w:rsid w:val="0093503A"/>
    <w:rsid w:val="009362B5"/>
    <w:rsid w:val="00937591"/>
    <w:rsid w:val="0094035C"/>
    <w:rsid w:val="00940F0F"/>
    <w:rsid w:val="00940F8D"/>
    <w:rsid w:val="009418B9"/>
    <w:rsid w:val="00941F4A"/>
    <w:rsid w:val="00941FC0"/>
    <w:rsid w:val="0094203E"/>
    <w:rsid w:val="00942159"/>
    <w:rsid w:val="00944FD5"/>
    <w:rsid w:val="00947328"/>
    <w:rsid w:val="00950A0F"/>
    <w:rsid w:val="009567A5"/>
    <w:rsid w:val="0096262E"/>
    <w:rsid w:val="00963853"/>
    <w:rsid w:val="009638DD"/>
    <w:rsid w:val="009642F8"/>
    <w:rsid w:val="00965402"/>
    <w:rsid w:val="00967084"/>
    <w:rsid w:val="0096724C"/>
    <w:rsid w:val="009673B7"/>
    <w:rsid w:val="00967C06"/>
    <w:rsid w:val="009706E8"/>
    <w:rsid w:val="00972988"/>
    <w:rsid w:val="009753FC"/>
    <w:rsid w:val="00980436"/>
    <w:rsid w:val="00980DC5"/>
    <w:rsid w:val="00983D49"/>
    <w:rsid w:val="0098613E"/>
    <w:rsid w:val="00986764"/>
    <w:rsid w:val="00991C18"/>
    <w:rsid w:val="0099256E"/>
    <w:rsid w:val="00992CCB"/>
    <w:rsid w:val="00993CE7"/>
    <w:rsid w:val="00993F05"/>
    <w:rsid w:val="009942C2"/>
    <w:rsid w:val="00994719"/>
    <w:rsid w:val="0099685C"/>
    <w:rsid w:val="009969C9"/>
    <w:rsid w:val="0099753F"/>
    <w:rsid w:val="009A4F4F"/>
    <w:rsid w:val="009A5A6D"/>
    <w:rsid w:val="009B0DEF"/>
    <w:rsid w:val="009B3CF5"/>
    <w:rsid w:val="009B443E"/>
    <w:rsid w:val="009B482A"/>
    <w:rsid w:val="009B4D3B"/>
    <w:rsid w:val="009B5244"/>
    <w:rsid w:val="009C044E"/>
    <w:rsid w:val="009C214E"/>
    <w:rsid w:val="009C3170"/>
    <w:rsid w:val="009C370B"/>
    <w:rsid w:val="009C5C17"/>
    <w:rsid w:val="009C6379"/>
    <w:rsid w:val="009C670B"/>
    <w:rsid w:val="009C674E"/>
    <w:rsid w:val="009D03F1"/>
    <w:rsid w:val="009D2E46"/>
    <w:rsid w:val="009D7E22"/>
    <w:rsid w:val="009E0BA7"/>
    <w:rsid w:val="009E23E3"/>
    <w:rsid w:val="009E23E8"/>
    <w:rsid w:val="009E7038"/>
    <w:rsid w:val="009F0E4B"/>
    <w:rsid w:val="009F11DD"/>
    <w:rsid w:val="009F1B1B"/>
    <w:rsid w:val="009F1B43"/>
    <w:rsid w:val="009F2B98"/>
    <w:rsid w:val="009F55DE"/>
    <w:rsid w:val="00A000C1"/>
    <w:rsid w:val="00A00682"/>
    <w:rsid w:val="00A01BE3"/>
    <w:rsid w:val="00A02E37"/>
    <w:rsid w:val="00A03401"/>
    <w:rsid w:val="00A04406"/>
    <w:rsid w:val="00A046A8"/>
    <w:rsid w:val="00A05CA8"/>
    <w:rsid w:val="00A0657F"/>
    <w:rsid w:val="00A07793"/>
    <w:rsid w:val="00A11A7D"/>
    <w:rsid w:val="00A12586"/>
    <w:rsid w:val="00A13DBD"/>
    <w:rsid w:val="00A149FB"/>
    <w:rsid w:val="00A160F9"/>
    <w:rsid w:val="00A22C04"/>
    <w:rsid w:val="00A2440D"/>
    <w:rsid w:val="00A25001"/>
    <w:rsid w:val="00A25779"/>
    <w:rsid w:val="00A25AF1"/>
    <w:rsid w:val="00A27B01"/>
    <w:rsid w:val="00A37377"/>
    <w:rsid w:val="00A407C9"/>
    <w:rsid w:val="00A41FAE"/>
    <w:rsid w:val="00A44770"/>
    <w:rsid w:val="00A45300"/>
    <w:rsid w:val="00A50A7B"/>
    <w:rsid w:val="00A51C08"/>
    <w:rsid w:val="00A535F1"/>
    <w:rsid w:val="00A545AD"/>
    <w:rsid w:val="00A5569C"/>
    <w:rsid w:val="00A5747F"/>
    <w:rsid w:val="00A610B2"/>
    <w:rsid w:val="00A62749"/>
    <w:rsid w:val="00A62876"/>
    <w:rsid w:val="00A628A9"/>
    <w:rsid w:val="00A674AA"/>
    <w:rsid w:val="00A72760"/>
    <w:rsid w:val="00A732E3"/>
    <w:rsid w:val="00A73968"/>
    <w:rsid w:val="00A744BC"/>
    <w:rsid w:val="00A74C0F"/>
    <w:rsid w:val="00A74F95"/>
    <w:rsid w:val="00A75881"/>
    <w:rsid w:val="00A76444"/>
    <w:rsid w:val="00A7771E"/>
    <w:rsid w:val="00A8313D"/>
    <w:rsid w:val="00A83E34"/>
    <w:rsid w:val="00A84319"/>
    <w:rsid w:val="00A87A78"/>
    <w:rsid w:val="00A908DB"/>
    <w:rsid w:val="00A90F4A"/>
    <w:rsid w:val="00A956FA"/>
    <w:rsid w:val="00A96046"/>
    <w:rsid w:val="00A96DE6"/>
    <w:rsid w:val="00AA2305"/>
    <w:rsid w:val="00AA2681"/>
    <w:rsid w:val="00AA3594"/>
    <w:rsid w:val="00AA429F"/>
    <w:rsid w:val="00AA4DC8"/>
    <w:rsid w:val="00AA5C63"/>
    <w:rsid w:val="00AB01E9"/>
    <w:rsid w:val="00AB1166"/>
    <w:rsid w:val="00AB613B"/>
    <w:rsid w:val="00AB6907"/>
    <w:rsid w:val="00AB6AA0"/>
    <w:rsid w:val="00AB74B2"/>
    <w:rsid w:val="00AC04FD"/>
    <w:rsid w:val="00AC08D4"/>
    <w:rsid w:val="00AC090B"/>
    <w:rsid w:val="00AC0B84"/>
    <w:rsid w:val="00AC7D14"/>
    <w:rsid w:val="00AD0353"/>
    <w:rsid w:val="00AD25D3"/>
    <w:rsid w:val="00AD2CD9"/>
    <w:rsid w:val="00AD2DBF"/>
    <w:rsid w:val="00AD341B"/>
    <w:rsid w:val="00AD57ED"/>
    <w:rsid w:val="00AD5800"/>
    <w:rsid w:val="00AD63A9"/>
    <w:rsid w:val="00AD74BB"/>
    <w:rsid w:val="00AE37A8"/>
    <w:rsid w:val="00AF20CE"/>
    <w:rsid w:val="00AF3304"/>
    <w:rsid w:val="00AF7A8A"/>
    <w:rsid w:val="00B02AB9"/>
    <w:rsid w:val="00B03BFF"/>
    <w:rsid w:val="00B0676C"/>
    <w:rsid w:val="00B06F14"/>
    <w:rsid w:val="00B0734C"/>
    <w:rsid w:val="00B07626"/>
    <w:rsid w:val="00B07797"/>
    <w:rsid w:val="00B10D0E"/>
    <w:rsid w:val="00B13436"/>
    <w:rsid w:val="00B13FEA"/>
    <w:rsid w:val="00B145A9"/>
    <w:rsid w:val="00B157A6"/>
    <w:rsid w:val="00B17F83"/>
    <w:rsid w:val="00B2040D"/>
    <w:rsid w:val="00B21EE1"/>
    <w:rsid w:val="00B220E3"/>
    <w:rsid w:val="00B22166"/>
    <w:rsid w:val="00B238D2"/>
    <w:rsid w:val="00B25C82"/>
    <w:rsid w:val="00B278D5"/>
    <w:rsid w:val="00B27AAC"/>
    <w:rsid w:val="00B3129F"/>
    <w:rsid w:val="00B335A0"/>
    <w:rsid w:val="00B35D9D"/>
    <w:rsid w:val="00B374D0"/>
    <w:rsid w:val="00B40D70"/>
    <w:rsid w:val="00B40F0A"/>
    <w:rsid w:val="00B41EA2"/>
    <w:rsid w:val="00B42FE5"/>
    <w:rsid w:val="00B50D37"/>
    <w:rsid w:val="00B533E9"/>
    <w:rsid w:val="00B53691"/>
    <w:rsid w:val="00B575C2"/>
    <w:rsid w:val="00B63D79"/>
    <w:rsid w:val="00B64EAD"/>
    <w:rsid w:val="00B65C92"/>
    <w:rsid w:val="00B672C8"/>
    <w:rsid w:val="00B6741F"/>
    <w:rsid w:val="00B70A43"/>
    <w:rsid w:val="00B713DC"/>
    <w:rsid w:val="00B71B23"/>
    <w:rsid w:val="00B731F3"/>
    <w:rsid w:val="00B732E3"/>
    <w:rsid w:val="00B75E5C"/>
    <w:rsid w:val="00B76155"/>
    <w:rsid w:val="00B76B81"/>
    <w:rsid w:val="00B77B2C"/>
    <w:rsid w:val="00B807C1"/>
    <w:rsid w:val="00B814C7"/>
    <w:rsid w:val="00B81970"/>
    <w:rsid w:val="00B82039"/>
    <w:rsid w:val="00B837E0"/>
    <w:rsid w:val="00B90838"/>
    <w:rsid w:val="00B96B13"/>
    <w:rsid w:val="00B97C9B"/>
    <w:rsid w:val="00BA2A4F"/>
    <w:rsid w:val="00BA334A"/>
    <w:rsid w:val="00BA3823"/>
    <w:rsid w:val="00BA39F9"/>
    <w:rsid w:val="00BA4E27"/>
    <w:rsid w:val="00BA6921"/>
    <w:rsid w:val="00BB0057"/>
    <w:rsid w:val="00BB0720"/>
    <w:rsid w:val="00BB1C4A"/>
    <w:rsid w:val="00BB1F30"/>
    <w:rsid w:val="00BB2389"/>
    <w:rsid w:val="00BB2922"/>
    <w:rsid w:val="00BB3E46"/>
    <w:rsid w:val="00BB41D8"/>
    <w:rsid w:val="00BB4669"/>
    <w:rsid w:val="00BB4A7A"/>
    <w:rsid w:val="00BB5890"/>
    <w:rsid w:val="00BB5C38"/>
    <w:rsid w:val="00BC3C21"/>
    <w:rsid w:val="00BC462E"/>
    <w:rsid w:val="00BC4BA4"/>
    <w:rsid w:val="00BC5700"/>
    <w:rsid w:val="00BC575D"/>
    <w:rsid w:val="00BD4CCE"/>
    <w:rsid w:val="00BD4F83"/>
    <w:rsid w:val="00BD57FB"/>
    <w:rsid w:val="00BD66E6"/>
    <w:rsid w:val="00BD6755"/>
    <w:rsid w:val="00BD6998"/>
    <w:rsid w:val="00BD6CB8"/>
    <w:rsid w:val="00BD7213"/>
    <w:rsid w:val="00BD7938"/>
    <w:rsid w:val="00BD7F30"/>
    <w:rsid w:val="00BE0DA8"/>
    <w:rsid w:val="00BE13DD"/>
    <w:rsid w:val="00BE3258"/>
    <w:rsid w:val="00BE6E9F"/>
    <w:rsid w:val="00BF0ED6"/>
    <w:rsid w:val="00BF27B7"/>
    <w:rsid w:val="00BF4C24"/>
    <w:rsid w:val="00BF5B5B"/>
    <w:rsid w:val="00BF7F1D"/>
    <w:rsid w:val="00C02F0F"/>
    <w:rsid w:val="00C06AC2"/>
    <w:rsid w:val="00C13A83"/>
    <w:rsid w:val="00C14BA3"/>
    <w:rsid w:val="00C159CC"/>
    <w:rsid w:val="00C15AFD"/>
    <w:rsid w:val="00C209D7"/>
    <w:rsid w:val="00C20D0C"/>
    <w:rsid w:val="00C21496"/>
    <w:rsid w:val="00C24EE1"/>
    <w:rsid w:val="00C26C2B"/>
    <w:rsid w:val="00C2704E"/>
    <w:rsid w:val="00C27B94"/>
    <w:rsid w:val="00C31E06"/>
    <w:rsid w:val="00C33558"/>
    <w:rsid w:val="00C36373"/>
    <w:rsid w:val="00C433F3"/>
    <w:rsid w:val="00C458AF"/>
    <w:rsid w:val="00C45EE7"/>
    <w:rsid w:val="00C47F39"/>
    <w:rsid w:val="00C50970"/>
    <w:rsid w:val="00C51E04"/>
    <w:rsid w:val="00C51E23"/>
    <w:rsid w:val="00C52B9E"/>
    <w:rsid w:val="00C5309B"/>
    <w:rsid w:val="00C60908"/>
    <w:rsid w:val="00C62D32"/>
    <w:rsid w:val="00C65347"/>
    <w:rsid w:val="00C70AE7"/>
    <w:rsid w:val="00C713EA"/>
    <w:rsid w:val="00C7234D"/>
    <w:rsid w:val="00C75323"/>
    <w:rsid w:val="00C76F0D"/>
    <w:rsid w:val="00C823D0"/>
    <w:rsid w:val="00C827AC"/>
    <w:rsid w:val="00C83187"/>
    <w:rsid w:val="00C83587"/>
    <w:rsid w:val="00C84CF4"/>
    <w:rsid w:val="00C87329"/>
    <w:rsid w:val="00C907A7"/>
    <w:rsid w:val="00C9226C"/>
    <w:rsid w:val="00C92989"/>
    <w:rsid w:val="00C931FA"/>
    <w:rsid w:val="00C9582F"/>
    <w:rsid w:val="00C97056"/>
    <w:rsid w:val="00CA0A30"/>
    <w:rsid w:val="00CA108B"/>
    <w:rsid w:val="00CA2E05"/>
    <w:rsid w:val="00CA51FD"/>
    <w:rsid w:val="00CA60BF"/>
    <w:rsid w:val="00CA75FD"/>
    <w:rsid w:val="00CA78F2"/>
    <w:rsid w:val="00CB1F52"/>
    <w:rsid w:val="00CB295F"/>
    <w:rsid w:val="00CB301C"/>
    <w:rsid w:val="00CB4842"/>
    <w:rsid w:val="00CB4BB9"/>
    <w:rsid w:val="00CB59FB"/>
    <w:rsid w:val="00CB6934"/>
    <w:rsid w:val="00CB74FA"/>
    <w:rsid w:val="00CC5A89"/>
    <w:rsid w:val="00CC5BFF"/>
    <w:rsid w:val="00CC5CC2"/>
    <w:rsid w:val="00CC5EE2"/>
    <w:rsid w:val="00CC64F1"/>
    <w:rsid w:val="00CC6EE5"/>
    <w:rsid w:val="00CD008A"/>
    <w:rsid w:val="00CD1882"/>
    <w:rsid w:val="00CD1D0C"/>
    <w:rsid w:val="00CD3159"/>
    <w:rsid w:val="00CD584E"/>
    <w:rsid w:val="00CD5FDD"/>
    <w:rsid w:val="00CD6691"/>
    <w:rsid w:val="00CD718D"/>
    <w:rsid w:val="00CE0716"/>
    <w:rsid w:val="00CE0B95"/>
    <w:rsid w:val="00CE0DA1"/>
    <w:rsid w:val="00CE1BE8"/>
    <w:rsid w:val="00CE226E"/>
    <w:rsid w:val="00CE3A7E"/>
    <w:rsid w:val="00CE400B"/>
    <w:rsid w:val="00CE6361"/>
    <w:rsid w:val="00CF09A2"/>
    <w:rsid w:val="00CF1AD3"/>
    <w:rsid w:val="00CF3D52"/>
    <w:rsid w:val="00CF4C03"/>
    <w:rsid w:val="00CF4D14"/>
    <w:rsid w:val="00CF61D0"/>
    <w:rsid w:val="00CF67B1"/>
    <w:rsid w:val="00CF6855"/>
    <w:rsid w:val="00D0026C"/>
    <w:rsid w:val="00D002FA"/>
    <w:rsid w:val="00D008C3"/>
    <w:rsid w:val="00D01A47"/>
    <w:rsid w:val="00D01F2C"/>
    <w:rsid w:val="00D022B7"/>
    <w:rsid w:val="00D042B5"/>
    <w:rsid w:val="00D043C6"/>
    <w:rsid w:val="00D044CF"/>
    <w:rsid w:val="00D060D9"/>
    <w:rsid w:val="00D0614E"/>
    <w:rsid w:val="00D079B5"/>
    <w:rsid w:val="00D121AD"/>
    <w:rsid w:val="00D12B91"/>
    <w:rsid w:val="00D13E61"/>
    <w:rsid w:val="00D141DD"/>
    <w:rsid w:val="00D14DFC"/>
    <w:rsid w:val="00D15B1B"/>
    <w:rsid w:val="00D16D18"/>
    <w:rsid w:val="00D23106"/>
    <w:rsid w:val="00D23A16"/>
    <w:rsid w:val="00D24795"/>
    <w:rsid w:val="00D256CC"/>
    <w:rsid w:val="00D3117F"/>
    <w:rsid w:val="00D31F41"/>
    <w:rsid w:val="00D33D7E"/>
    <w:rsid w:val="00D3525A"/>
    <w:rsid w:val="00D355BF"/>
    <w:rsid w:val="00D37A40"/>
    <w:rsid w:val="00D37A75"/>
    <w:rsid w:val="00D37F77"/>
    <w:rsid w:val="00D41770"/>
    <w:rsid w:val="00D42420"/>
    <w:rsid w:val="00D43D3B"/>
    <w:rsid w:val="00D44EED"/>
    <w:rsid w:val="00D450A2"/>
    <w:rsid w:val="00D4635C"/>
    <w:rsid w:val="00D47120"/>
    <w:rsid w:val="00D50695"/>
    <w:rsid w:val="00D51138"/>
    <w:rsid w:val="00D541C7"/>
    <w:rsid w:val="00D54C26"/>
    <w:rsid w:val="00D553FC"/>
    <w:rsid w:val="00D6274F"/>
    <w:rsid w:val="00D636AE"/>
    <w:rsid w:val="00D6375C"/>
    <w:rsid w:val="00D6462C"/>
    <w:rsid w:val="00D661A7"/>
    <w:rsid w:val="00D66A3A"/>
    <w:rsid w:val="00D71C4B"/>
    <w:rsid w:val="00D7215F"/>
    <w:rsid w:val="00D729B8"/>
    <w:rsid w:val="00D73F54"/>
    <w:rsid w:val="00D7456D"/>
    <w:rsid w:val="00D74AD8"/>
    <w:rsid w:val="00D77021"/>
    <w:rsid w:val="00D800D4"/>
    <w:rsid w:val="00D827E0"/>
    <w:rsid w:val="00D84BF5"/>
    <w:rsid w:val="00D84D15"/>
    <w:rsid w:val="00D8761F"/>
    <w:rsid w:val="00D925FF"/>
    <w:rsid w:val="00D92E9F"/>
    <w:rsid w:val="00D93AAE"/>
    <w:rsid w:val="00D94D32"/>
    <w:rsid w:val="00DA182C"/>
    <w:rsid w:val="00DA1EF7"/>
    <w:rsid w:val="00DA3B6E"/>
    <w:rsid w:val="00DB014E"/>
    <w:rsid w:val="00DB06E2"/>
    <w:rsid w:val="00DB10CA"/>
    <w:rsid w:val="00DB355A"/>
    <w:rsid w:val="00DB53DB"/>
    <w:rsid w:val="00DC1CCB"/>
    <w:rsid w:val="00DC261C"/>
    <w:rsid w:val="00DC2DAC"/>
    <w:rsid w:val="00DC3128"/>
    <w:rsid w:val="00DC349A"/>
    <w:rsid w:val="00DC5E76"/>
    <w:rsid w:val="00DC5FF6"/>
    <w:rsid w:val="00DC6C58"/>
    <w:rsid w:val="00DD00C5"/>
    <w:rsid w:val="00DD0DF8"/>
    <w:rsid w:val="00DD1000"/>
    <w:rsid w:val="00DD4CDF"/>
    <w:rsid w:val="00DD52EC"/>
    <w:rsid w:val="00DD5E74"/>
    <w:rsid w:val="00DD71D2"/>
    <w:rsid w:val="00DD7B29"/>
    <w:rsid w:val="00DE1577"/>
    <w:rsid w:val="00DE3B2A"/>
    <w:rsid w:val="00DE5E34"/>
    <w:rsid w:val="00DE64AC"/>
    <w:rsid w:val="00DE7323"/>
    <w:rsid w:val="00DF08AC"/>
    <w:rsid w:val="00DF19F3"/>
    <w:rsid w:val="00DF2F08"/>
    <w:rsid w:val="00DF5877"/>
    <w:rsid w:val="00DF693A"/>
    <w:rsid w:val="00DF77D7"/>
    <w:rsid w:val="00E00724"/>
    <w:rsid w:val="00E01CF1"/>
    <w:rsid w:val="00E020C5"/>
    <w:rsid w:val="00E03C59"/>
    <w:rsid w:val="00E06122"/>
    <w:rsid w:val="00E066F3"/>
    <w:rsid w:val="00E06BA3"/>
    <w:rsid w:val="00E108AD"/>
    <w:rsid w:val="00E10FEE"/>
    <w:rsid w:val="00E12307"/>
    <w:rsid w:val="00E12364"/>
    <w:rsid w:val="00E12A77"/>
    <w:rsid w:val="00E142CD"/>
    <w:rsid w:val="00E15A47"/>
    <w:rsid w:val="00E16412"/>
    <w:rsid w:val="00E1785F"/>
    <w:rsid w:val="00E20EDF"/>
    <w:rsid w:val="00E218CA"/>
    <w:rsid w:val="00E22D04"/>
    <w:rsid w:val="00E22D5F"/>
    <w:rsid w:val="00E237BD"/>
    <w:rsid w:val="00E2405D"/>
    <w:rsid w:val="00E25488"/>
    <w:rsid w:val="00E25CD5"/>
    <w:rsid w:val="00E26519"/>
    <w:rsid w:val="00E27565"/>
    <w:rsid w:val="00E3088E"/>
    <w:rsid w:val="00E30F36"/>
    <w:rsid w:val="00E31378"/>
    <w:rsid w:val="00E31D71"/>
    <w:rsid w:val="00E32498"/>
    <w:rsid w:val="00E33655"/>
    <w:rsid w:val="00E3414A"/>
    <w:rsid w:val="00E3584B"/>
    <w:rsid w:val="00E35D7D"/>
    <w:rsid w:val="00E3641B"/>
    <w:rsid w:val="00E36AAF"/>
    <w:rsid w:val="00E4076D"/>
    <w:rsid w:val="00E42805"/>
    <w:rsid w:val="00E42B2E"/>
    <w:rsid w:val="00E45131"/>
    <w:rsid w:val="00E466D8"/>
    <w:rsid w:val="00E508E5"/>
    <w:rsid w:val="00E51023"/>
    <w:rsid w:val="00E5402A"/>
    <w:rsid w:val="00E54295"/>
    <w:rsid w:val="00E55223"/>
    <w:rsid w:val="00E55B29"/>
    <w:rsid w:val="00E56C22"/>
    <w:rsid w:val="00E57915"/>
    <w:rsid w:val="00E57930"/>
    <w:rsid w:val="00E60B35"/>
    <w:rsid w:val="00E635B3"/>
    <w:rsid w:val="00E637C8"/>
    <w:rsid w:val="00E64F1F"/>
    <w:rsid w:val="00E656E3"/>
    <w:rsid w:val="00E65AF7"/>
    <w:rsid w:val="00E6634C"/>
    <w:rsid w:val="00E74556"/>
    <w:rsid w:val="00E74F2E"/>
    <w:rsid w:val="00E75C87"/>
    <w:rsid w:val="00E76096"/>
    <w:rsid w:val="00E7694C"/>
    <w:rsid w:val="00E806C7"/>
    <w:rsid w:val="00E83037"/>
    <w:rsid w:val="00E83209"/>
    <w:rsid w:val="00E84194"/>
    <w:rsid w:val="00E87679"/>
    <w:rsid w:val="00E90F2E"/>
    <w:rsid w:val="00E928B3"/>
    <w:rsid w:val="00E93C3D"/>
    <w:rsid w:val="00E963A3"/>
    <w:rsid w:val="00E96B5D"/>
    <w:rsid w:val="00EA0085"/>
    <w:rsid w:val="00EA2FAB"/>
    <w:rsid w:val="00EA61D2"/>
    <w:rsid w:val="00EA7CCD"/>
    <w:rsid w:val="00EA7D10"/>
    <w:rsid w:val="00EB003F"/>
    <w:rsid w:val="00EB1FC5"/>
    <w:rsid w:val="00EB2580"/>
    <w:rsid w:val="00EB47ED"/>
    <w:rsid w:val="00EB5A84"/>
    <w:rsid w:val="00EB6525"/>
    <w:rsid w:val="00EC1974"/>
    <w:rsid w:val="00EC262D"/>
    <w:rsid w:val="00EC488E"/>
    <w:rsid w:val="00EC544D"/>
    <w:rsid w:val="00EC5ED9"/>
    <w:rsid w:val="00EC70EE"/>
    <w:rsid w:val="00ED1366"/>
    <w:rsid w:val="00ED2060"/>
    <w:rsid w:val="00ED2487"/>
    <w:rsid w:val="00ED29EA"/>
    <w:rsid w:val="00ED2E7F"/>
    <w:rsid w:val="00ED300D"/>
    <w:rsid w:val="00ED393E"/>
    <w:rsid w:val="00ED3EB5"/>
    <w:rsid w:val="00ED5731"/>
    <w:rsid w:val="00ED5C44"/>
    <w:rsid w:val="00ED7619"/>
    <w:rsid w:val="00EE1D05"/>
    <w:rsid w:val="00EE1EF9"/>
    <w:rsid w:val="00EE3C40"/>
    <w:rsid w:val="00EE426E"/>
    <w:rsid w:val="00EE451E"/>
    <w:rsid w:val="00EE46D4"/>
    <w:rsid w:val="00EE4E00"/>
    <w:rsid w:val="00EE53D3"/>
    <w:rsid w:val="00EE6CEA"/>
    <w:rsid w:val="00EE7505"/>
    <w:rsid w:val="00EE75D0"/>
    <w:rsid w:val="00EF038D"/>
    <w:rsid w:val="00EF045D"/>
    <w:rsid w:val="00EF1EAA"/>
    <w:rsid w:val="00EF65CE"/>
    <w:rsid w:val="00F00A80"/>
    <w:rsid w:val="00F03A84"/>
    <w:rsid w:val="00F04DDD"/>
    <w:rsid w:val="00F05802"/>
    <w:rsid w:val="00F06472"/>
    <w:rsid w:val="00F105CF"/>
    <w:rsid w:val="00F12CAA"/>
    <w:rsid w:val="00F137F4"/>
    <w:rsid w:val="00F14989"/>
    <w:rsid w:val="00F16850"/>
    <w:rsid w:val="00F23112"/>
    <w:rsid w:val="00F24443"/>
    <w:rsid w:val="00F2603D"/>
    <w:rsid w:val="00F27C61"/>
    <w:rsid w:val="00F30299"/>
    <w:rsid w:val="00F3169F"/>
    <w:rsid w:val="00F35806"/>
    <w:rsid w:val="00F35D37"/>
    <w:rsid w:val="00F36084"/>
    <w:rsid w:val="00F36303"/>
    <w:rsid w:val="00F373E8"/>
    <w:rsid w:val="00F37624"/>
    <w:rsid w:val="00F41836"/>
    <w:rsid w:val="00F41CC8"/>
    <w:rsid w:val="00F42355"/>
    <w:rsid w:val="00F437B3"/>
    <w:rsid w:val="00F45C08"/>
    <w:rsid w:val="00F4645A"/>
    <w:rsid w:val="00F46912"/>
    <w:rsid w:val="00F4712B"/>
    <w:rsid w:val="00F47DB4"/>
    <w:rsid w:val="00F47F99"/>
    <w:rsid w:val="00F5483D"/>
    <w:rsid w:val="00F55E2D"/>
    <w:rsid w:val="00F55E5C"/>
    <w:rsid w:val="00F5685B"/>
    <w:rsid w:val="00F61DD4"/>
    <w:rsid w:val="00F63513"/>
    <w:rsid w:val="00F6464A"/>
    <w:rsid w:val="00F64A22"/>
    <w:rsid w:val="00F660C8"/>
    <w:rsid w:val="00F67B67"/>
    <w:rsid w:val="00F70FC2"/>
    <w:rsid w:val="00F71507"/>
    <w:rsid w:val="00F72217"/>
    <w:rsid w:val="00F7254A"/>
    <w:rsid w:val="00F7588E"/>
    <w:rsid w:val="00F76CA3"/>
    <w:rsid w:val="00F77173"/>
    <w:rsid w:val="00F77F38"/>
    <w:rsid w:val="00F8001F"/>
    <w:rsid w:val="00F820F5"/>
    <w:rsid w:val="00F824B3"/>
    <w:rsid w:val="00F82CCC"/>
    <w:rsid w:val="00F82DD8"/>
    <w:rsid w:val="00F83AD0"/>
    <w:rsid w:val="00F853A0"/>
    <w:rsid w:val="00F86526"/>
    <w:rsid w:val="00F91065"/>
    <w:rsid w:val="00F9144B"/>
    <w:rsid w:val="00F92F7F"/>
    <w:rsid w:val="00F94A40"/>
    <w:rsid w:val="00F96662"/>
    <w:rsid w:val="00FA0DD8"/>
    <w:rsid w:val="00FA149C"/>
    <w:rsid w:val="00FA2FDF"/>
    <w:rsid w:val="00FA3DEA"/>
    <w:rsid w:val="00FA4130"/>
    <w:rsid w:val="00FA4EBC"/>
    <w:rsid w:val="00FA578E"/>
    <w:rsid w:val="00FA7E4F"/>
    <w:rsid w:val="00FB1981"/>
    <w:rsid w:val="00FB33F6"/>
    <w:rsid w:val="00FB3DCE"/>
    <w:rsid w:val="00FB426B"/>
    <w:rsid w:val="00FB4A45"/>
    <w:rsid w:val="00FB7544"/>
    <w:rsid w:val="00FC2E4C"/>
    <w:rsid w:val="00FC3DC6"/>
    <w:rsid w:val="00FC4A46"/>
    <w:rsid w:val="00FC5FFD"/>
    <w:rsid w:val="00FC70B8"/>
    <w:rsid w:val="00FC72CB"/>
    <w:rsid w:val="00FC7475"/>
    <w:rsid w:val="00FD0794"/>
    <w:rsid w:val="00FD4B94"/>
    <w:rsid w:val="00FE23D2"/>
    <w:rsid w:val="00FE47AF"/>
    <w:rsid w:val="00FF13DB"/>
    <w:rsid w:val="00FF162D"/>
    <w:rsid w:val="00FF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4FF99-6C6D-4C3F-91E3-4C88F732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7A7"/>
    <w:rPr>
      <w:sz w:val="22"/>
      <w:szCs w:val="22"/>
      <w:lang w:eastAsia="en-US"/>
    </w:rPr>
  </w:style>
  <w:style w:type="paragraph" w:styleId="a4">
    <w:name w:val="List Paragraph"/>
    <w:basedOn w:val="a"/>
    <w:uiPriority w:val="34"/>
    <w:qFormat/>
    <w:rsid w:val="00C907A7"/>
    <w:pPr>
      <w:ind w:left="720"/>
      <w:contextualSpacing/>
    </w:pPr>
  </w:style>
  <w:style w:type="table" w:styleId="a5">
    <w:name w:val="Table Grid"/>
    <w:basedOn w:val="a1"/>
    <w:uiPriority w:val="59"/>
    <w:rsid w:val="002D4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219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198E"/>
    <w:rPr>
      <w:rFonts w:ascii="Tahoma" w:hAnsi="Tahoma" w:cs="Tahoma"/>
      <w:sz w:val="16"/>
      <w:szCs w:val="16"/>
    </w:rPr>
  </w:style>
  <w:style w:type="paragraph" w:styleId="a8">
    <w:name w:val="header"/>
    <w:basedOn w:val="a"/>
    <w:link w:val="a9"/>
    <w:uiPriority w:val="99"/>
    <w:semiHidden/>
    <w:unhideWhenUsed/>
    <w:rsid w:val="00233E5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3E55"/>
  </w:style>
  <w:style w:type="paragraph" w:styleId="aa">
    <w:name w:val="footer"/>
    <w:basedOn w:val="a"/>
    <w:link w:val="ab"/>
    <w:uiPriority w:val="99"/>
    <w:semiHidden/>
    <w:unhideWhenUsed/>
    <w:rsid w:val="00233E5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c">
    <w:name w:val="Hyperlink"/>
    <w:basedOn w:val="a0"/>
    <w:uiPriority w:val="99"/>
    <w:semiHidden/>
    <w:unhideWhenUsed/>
    <w:rsid w:val="00CD5FDD"/>
    <w:rPr>
      <w:color w:val="0000FF"/>
      <w:u w:val="single"/>
    </w:rPr>
  </w:style>
  <w:style w:type="character" w:styleId="ad">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styleId="ae">
    <w:name w:val="Grid Table Light"/>
    <w:basedOn w:val="a1"/>
    <w:uiPriority w:val="40"/>
    <w:rsid w:val="00332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79370982">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86639354">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44054325">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9CA8D-9A62-4EF7-A932-ED4E0E7C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215</cp:revision>
  <cp:lastPrinted>2022-02-10T10:46:00Z</cp:lastPrinted>
  <dcterms:created xsi:type="dcterms:W3CDTF">2021-07-27T04:19:00Z</dcterms:created>
  <dcterms:modified xsi:type="dcterms:W3CDTF">2022-02-17T08:32:00Z</dcterms:modified>
</cp:coreProperties>
</file>