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Объявление №</w:t>
      </w:r>
      <w:r w:rsidR="000979F3">
        <w:rPr>
          <w:rFonts w:ascii="Times New Roman" w:eastAsia="Times New Roman" w:hAnsi="Times New Roman" w:cs="Times New Roman"/>
          <w:b/>
          <w:bCs/>
        </w:rPr>
        <w:t>2</w:t>
      </w:r>
      <w:r w:rsidR="004D5D0C">
        <w:rPr>
          <w:rFonts w:ascii="Times New Roman" w:eastAsia="Times New Roman" w:hAnsi="Times New Roman" w:cs="Times New Roman"/>
          <w:b/>
          <w:bCs/>
        </w:rPr>
        <w:t>/</w:t>
      </w:r>
      <w:proofErr w:type="gramStart"/>
      <w:r w:rsidR="004D5D0C">
        <w:rPr>
          <w:rFonts w:ascii="Times New Roman" w:eastAsia="Times New Roman" w:hAnsi="Times New Roman" w:cs="Times New Roman"/>
          <w:b/>
          <w:bCs/>
        </w:rPr>
        <w:t>1</w:t>
      </w:r>
      <w:r w:rsidR="00273691" w:rsidRPr="001769A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6C5C17"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r w:rsidRPr="001769A2">
        <w:rPr>
          <w:rFonts w:ascii="Times New Roman" w:eastAsia="Times New Roman" w:hAnsi="Times New Roman" w:cs="Times New Roman"/>
          <w:b/>
          <w:bCs/>
        </w:rPr>
        <w:t>от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r w:rsidR="00DB6A4D"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r w:rsidR="000979F3">
        <w:rPr>
          <w:rFonts w:ascii="Times New Roman" w:eastAsia="Times New Roman" w:hAnsi="Times New Roman" w:cs="Times New Roman"/>
          <w:b/>
          <w:bCs/>
        </w:rPr>
        <w:t>12</w:t>
      </w:r>
      <w:r w:rsidR="0092082E" w:rsidRPr="001769A2">
        <w:rPr>
          <w:rFonts w:ascii="Times New Roman" w:eastAsia="Times New Roman" w:hAnsi="Times New Roman" w:cs="Times New Roman"/>
          <w:b/>
          <w:bCs/>
        </w:rPr>
        <w:t>.</w:t>
      </w:r>
      <w:r w:rsidR="002746A3" w:rsidRPr="001769A2">
        <w:rPr>
          <w:rFonts w:ascii="Times New Roman" w:eastAsia="Times New Roman" w:hAnsi="Times New Roman" w:cs="Times New Roman"/>
          <w:b/>
          <w:bCs/>
        </w:rPr>
        <w:t>0</w:t>
      </w:r>
      <w:r w:rsidR="00003C67" w:rsidRPr="001769A2">
        <w:rPr>
          <w:rFonts w:ascii="Times New Roman" w:eastAsia="Times New Roman" w:hAnsi="Times New Roman" w:cs="Times New Roman"/>
          <w:b/>
          <w:bCs/>
        </w:rPr>
        <w:t>1</w:t>
      </w:r>
      <w:r w:rsidRPr="001769A2">
        <w:rPr>
          <w:rFonts w:ascii="Times New Roman" w:eastAsia="Times New Roman" w:hAnsi="Times New Roman" w:cs="Times New Roman"/>
          <w:b/>
          <w:bCs/>
        </w:rPr>
        <w:t>. 202</w:t>
      </w:r>
      <w:r w:rsidR="002746A3" w:rsidRPr="001769A2">
        <w:rPr>
          <w:rFonts w:ascii="Times New Roman" w:eastAsia="Times New Roman" w:hAnsi="Times New Roman" w:cs="Times New Roman"/>
          <w:b/>
          <w:bCs/>
        </w:rPr>
        <w:t>1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 года</w:t>
      </w:r>
    </w:p>
    <w:p w:rsidR="00BF2CCB" w:rsidRPr="001769A2" w:rsidRDefault="00CE0C0E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BF2CCB" w:rsidRPr="001769A2">
        <w:rPr>
          <w:rFonts w:ascii="Times New Roman" w:eastAsia="Times New Roman" w:hAnsi="Times New Roman" w:cs="Times New Roman"/>
          <w:b/>
          <w:bCs/>
        </w:rPr>
        <w:t> Государственное коммунальное предприятие на праве хозяйственного ведения «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Алматинской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области» 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акиматаАлматинской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области </w:t>
      </w:r>
      <w:r w:rsidR="00BF2CCB" w:rsidRPr="001769A2">
        <w:rPr>
          <w:rFonts w:ascii="Times New Roman" w:eastAsia="Times New Roman" w:hAnsi="Times New Roman" w:cs="Times New Roman"/>
        </w:rPr>
        <w:t>объявляет о проведении закупа способом запроса ценовых предложений по изделиям медицинского назначения на 2020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1769A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1769A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Документы предоставляются согласно </w:t>
      </w:r>
      <w:r w:rsidRPr="001769A2">
        <w:rPr>
          <w:rFonts w:ascii="Times New Roman" w:eastAsia="Times New Roman" w:hAnsi="Times New Roman" w:cs="Times New Roman"/>
          <w:b/>
          <w:bCs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1769A2" w:rsidRDefault="00BF2CCB" w:rsidP="0001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3.Сроки поставки: п</w:t>
      </w:r>
      <w:r w:rsidR="00D762C6" w:rsidRPr="001769A2">
        <w:rPr>
          <w:rFonts w:ascii="Times New Roman" w:eastAsia="Times New Roman" w:hAnsi="Times New Roman" w:cs="Times New Roman"/>
        </w:rPr>
        <w:t>о заявке Заказчика до 31.12.2021</w:t>
      </w:r>
      <w:r w:rsidRPr="001769A2">
        <w:rPr>
          <w:rFonts w:ascii="Times New Roman" w:eastAsia="Times New Roman" w:hAnsi="Times New Roman" w:cs="Times New Roman"/>
        </w:rPr>
        <w:t xml:space="preserve"> года.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Место поставки: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>, улица Карасай батыра 259.</w:t>
      </w:r>
    </w:p>
    <w:p w:rsidR="00BF2CCB" w:rsidRPr="001769A2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Место представления (приема) документов: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</w:rPr>
        <w:t>акимата</w:t>
      </w:r>
      <w:proofErr w:type="spellEnd"/>
      <w:r w:rsidR="00CF6E01" w:rsidRPr="001769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области, в кабинет главного бухгалтера.</w:t>
      </w:r>
    </w:p>
    <w:p w:rsidR="000A4E8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  Окончательный срок подачи ценовых</w:t>
      </w:r>
      <w:r w:rsidR="00CF6E01" w:rsidRPr="001769A2">
        <w:rPr>
          <w:rFonts w:ascii="Times New Roman" w:eastAsia="Times New Roman" w:hAnsi="Times New Roman" w:cs="Times New Roman"/>
        </w:rPr>
        <w:t xml:space="preserve"> предложений - до 12-30 часов </w:t>
      </w:r>
    </w:p>
    <w:p w:rsidR="00BF2CCB" w:rsidRPr="001769A2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«</w:t>
      </w:r>
      <w:r w:rsidR="004D5D0C">
        <w:rPr>
          <w:rFonts w:ascii="Times New Roman" w:eastAsia="Times New Roman" w:hAnsi="Times New Roman" w:cs="Times New Roman"/>
        </w:rPr>
        <w:t>19</w:t>
      </w:r>
      <w:r w:rsidR="0025591A" w:rsidRPr="001769A2">
        <w:rPr>
          <w:rFonts w:ascii="Times New Roman" w:eastAsia="Times New Roman" w:hAnsi="Times New Roman" w:cs="Times New Roman"/>
        </w:rPr>
        <w:t>»</w:t>
      </w:r>
      <w:r w:rsidR="002746A3" w:rsidRPr="001769A2">
        <w:rPr>
          <w:rFonts w:ascii="Times New Roman" w:eastAsia="Times New Roman" w:hAnsi="Times New Roman" w:cs="Times New Roman"/>
        </w:rPr>
        <w:t xml:space="preserve"> января</w:t>
      </w:r>
      <w:r w:rsidR="002B2A66" w:rsidRPr="001769A2">
        <w:rPr>
          <w:rFonts w:ascii="Times New Roman" w:eastAsia="Times New Roman" w:hAnsi="Times New Roman" w:cs="Times New Roman"/>
        </w:rPr>
        <w:t xml:space="preserve"> </w:t>
      </w:r>
      <w:r w:rsidR="00BF2CCB" w:rsidRPr="001769A2">
        <w:rPr>
          <w:rFonts w:ascii="Times New Roman" w:eastAsia="Times New Roman" w:hAnsi="Times New Roman" w:cs="Times New Roman"/>
        </w:rPr>
        <w:t>  202</w:t>
      </w:r>
      <w:r w:rsidR="00166C0E" w:rsidRPr="001769A2">
        <w:rPr>
          <w:rFonts w:ascii="Times New Roman" w:eastAsia="Times New Roman" w:hAnsi="Times New Roman" w:cs="Times New Roman"/>
        </w:rPr>
        <w:t>1</w:t>
      </w:r>
      <w:r w:rsidR="00BF2CCB" w:rsidRPr="001769A2">
        <w:rPr>
          <w:rFonts w:ascii="Times New Roman" w:eastAsia="Times New Roman" w:hAnsi="Times New Roman" w:cs="Times New Roman"/>
        </w:rPr>
        <w:t xml:space="preserve"> года.</w:t>
      </w:r>
    </w:p>
    <w:p w:rsidR="00BF2CCB" w:rsidRPr="001769A2" w:rsidRDefault="00BF2CCB" w:rsidP="000165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Дата, время и место вскрытия конвертов с ценовыми предложениями: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Конверты с ценовыми предложениями вскрываются комиссией в 1</w:t>
      </w:r>
      <w:r w:rsidR="000A4E8B" w:rsidRPr="001769A2">
        <w:rPr>
          <w:rFonts w:ascii="Times New Roman" w:eastAsia="Times New Roman" w:hAnsi="Times New Roman" w:cs="Times New Roman"/>
        </w:rPr>
        <w:t>5</w:t>
      </w:r>
      <w:r w:rsidRPr="001769A2">
        <w:rPr>
          <w:rFonts w:ascii="Times New Roman" w:eastAsia="Times New Roman" w:hAnsi="Times New Roman" w:cs="Times New Roman"/>
        </w:rPr>
        <w:t xml:space="preserve">-00 часов по адресу: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, улица Карасай батыра 259. </w:t>
      </w:r>
      <w:r w:rsidRPr="001769A2">
        <w:rPr>
          <w:rFonts w:ascii="Times New Roman" w:eastAsia="Times New Roman" w:hAnsi="Times New Roman" w:cs="Times New Roman"/>
        </w:rPr>
        <w:lastRenderedPageBreak/>
        <w:t>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</w:rPr>
        <w:t>акиматаАлматинской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области, в кабинете провизора.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040600,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акиматаАлматинской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области, со следующим содержанием: 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Номер и дату объявления заполнить, дата вскрытия конвертов в «___» __________ </w:t>
      </w:r>
      <w:proofErr w:type="gramStart"/>
      <w:r w:rsidRPr="001769A2">
        <w:rPr>
          <w:rFonts w:ascii="Times New Roman" w:eastAsia="Times New Roman" w:hAnsi="Times New Roman" w:cs="Times New Roman"/>
          <w:b/>
          <w:bCs/>
          <w:i/>
          <w:iCs/>
        </w:rPr>
        <w:t>202</w:t>
      </w:r>
      <w:r w:rsidR="00CB7743" w:rsidRPr="001769A2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  года</w:t>
      </w:r>
      <w:proofErr w:type="gramEnd"/>
      <w:r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 в _______ часов.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Тел. для справок: 7</w:t>
      </w:r>
      <w:r w:rsidR="00D13D33"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(72770) 2-34-51</w:t>
      </w:r>
    </w:p>
    <w:p w:rsidR="002A1329" w:rsidRPr="001769A2" w:rsidRDefault="00BF2CCB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</w:t>
      </w:r>
      <w:r w:rsidR="00841B1C" w:rsidRPr="001769A2">
        <w:rPr>
          <w:rFonts w:ascii="Times New Roman" w:eastAsia="Times New Roman" w:hAnsi="Times New Roman" w:cs="Times New Roman"/>
          <w:b/>
          <w:bCs/>
        </w:rPr>
        <w:t xml:space="preserve">Приложение № 1 </w:t>
      </w:r>
      <w:r w:rsidRPr="001769A2">
        <w:rPr>
          <w:rFonts w:ascii="Times New Roman" w:eastAsia="Times New Roman" w:hAnsi="Times New Roman" w:cs="Times New Roman"/>
          <w:b/>
          <w:bCs/>
        </w:rPr>
        <w:t>к настоящему объявлению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417"/>
        <w:gridCol w:w="1276"/>
        <w:gridCol w:w="1559"/>
      </w:tblGrid>
      <w:tr w:rsidR="00AC5C1C" w:rsidRPr="00B96FC1" w:rsidTr="00A77E15">
        <w:trPr>
          <w:trHeight w:val="402"/>
        </w:trPr>
        <w:tc>
          <w:tcPr>
            <w:tcW w:w="568" w:type="dxa"/>
          </w:tcPr>
          <w:p w:rsidR="00AC5C1C" w:rsidRPr="00B96FC1" w:rsidRDefault="00AC5C1C" w:rsidP="00AC5C1C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252" w:type="dxa"/>
          </w:tcPr>
          <w:p w:rsidR="00AC5C1C" w:rsidRPr="00B96FC1" w:rsidRDefault="00AC5C1C" w:rsidP="00AC5C1C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</w:tcPr>
          <w:p w:rsidR="00AC5C1C" w:rsidRPr="00B96FC1" w:rsidRDefault="00AC5C1C" w:rsidP="00AC5C1C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Единица                  измерения</w:t>
            </w:r>
          </w:p>
        </w:tc>
        <w:tc>
          <w:tcPr>
            <w:tcW w:w="1417" w:type="dxa"/>
          </w:tcPr>
          <w:p w:rsidR="00AC5C1C" w:rsidRPr="00B96FC1" w:rsidRDefault="00AC5C1C" w:rsidP="00AC5C1C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 xml:space="preserve">Количества </w:t>
            </w:r>
          </w:p>
        </w:tc>
        <w:tc>
          <w:tcPr>
            <w:tcW w:w="1276" w:type="dxa"/>
          </w:tcPr>
          <w:p w:rsidR="00AC5C1C" w:rsidRPr="00B96FC1" w:rsidRDefault="00AC5C1C" w:rsidP="00AC5C1C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559" w:type="dxa"/>
          </w:tcPr>
          <w:p w:rsidR="00AC5C1C" w:rsidRPr="00B96FC1" w:rsidRDefault="00AC5C1C" w:rsidP="00AC5C1C">
            <w:pPr>
              <w:jc w:val="center"/>
              <w:rPr>
                <w:b/>
                <w:sz w:val="18"/>
                <w:szCs w:val="18"/>
              </w:rPr>
            </w:pPr>
            <w:r w:rsidRPr="00B96FC1">
              <w:rPr>
                <w:b/>
                <w:sz w:val="18"/>
                <w:szCs w:val="18"/>
              </w:rPr>
              <w:t>Сумма</w:t>
            </w:r>
          </w:p>
        </w:tc>
      </w:tr>
      <w:tr w:rsidR="00A348F8" w:rsidRPr="003C30AB" w:rsidTr="00C77685">
        <w:trPr>
          <w:trHeight w:val="21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tabs>
                <w:tab w:val="right" w:pos="5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6FC1">
              <w:rPr>
                <w:rFonts w:ascii="Times New Roman" w:hAnsi="Times New Roman" w:cs="Times New Roman"/>
                <w:sz w:val="20"/>
                <w:szCs w:val="20"/>
              </w:rPr>
              <w:t>Канюля назальная кислородная (детская)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633C3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1230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369000</w:t>
            </w:r>
          </w:p>
        </w:tc>
      </w:tr>
      <w:tr w:rsidR="00A348F8" w:rsidRPr="003C30AB" w:rsidTr="00C77685">
        <w:trPr>
          <w:trHeight w:val="27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2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FC1">
              <w:rPr>
                <w:rFonts w:ascii="Times New Roman" w:hAnsi="Times New Roman" w:cs="Times New Roman"/>
                <w:sz w:val="20"/>
                <w:szCs w:val="20"/>
              </w:rPr>
              <w:t>Канюля назальная кислородная (взрослая)</w:t>
            </w:r>
          </w:p>
        </w:tc>
        <w:tc>
          <w:tcPr>
            <w:tcW w:w="1418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1230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2091000</w:t>
            </w:r>
          </w:p>
        </w:tc>
      </w:tr>
      <w:tr w:rsidR="00A348F8" w:rsidRPr="003C30AB" w:rsidTr="00C77685">
        <w:trPr>
          <w:trHeight w:val="7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3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Фильтр дыхательный </w:t>
            </w:r>
            <w:proofErr w:type="spellStart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бактериально</w:t>
            </w:r>
            <w:proofErr w:type="spellEnd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-вирусный с </w:t>
            </w:r>
            <w:proofErr w:type="spellStart"/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тепловлагообменником</w:t>
            </w:r>
            <w:proofErr w:type="spellEnd"/>
          </w:p>
        </w:tc>
        <w:tc>
          <w:tcPr>
            <w:tcW w:w="1418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1230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861000</w:t>
            </w:r>
          </w:p>
        </w:tc>
      </w:tr>
      <w:tr w:rsidR="00A348F8" w:rsidRPr="003C30AB" w:rsidTr="00C77685">
        <w:trPr>
          <w:trHeight w:val="24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4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 катетеризации крупных сосудов 2 F</w:t>
            </w:r>
          </w:p>
        </w:tc>
        <w:tc>
          <w:tcPr>
            <w:tcW w:w="1418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12000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1200000</w:t>
            </w:r>
          </w:p>
        </w:tc>
      </w:tr>
      <w:tr w:rsidR="00A348F8" w:rsidRPr="003C30AB" w:rsidTr="00C77685">
        <w:trPr>
          <w:trHeight w:val="27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5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катетеризации крупных сосудов 4</w:t>
            </w: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  <w:tc>
          <w:tcPr>
            <w:tcW w:w="1418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12540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1254000</w:t>
            </w:r>
          </w:p>
        </w:tc>
      </w:tr>
      <w:tr w:rsidR="00A348F8" w:rsidRPr="003C30AB" w:rsidTr="00C77685">
        <w:trPr>
          <w:trHeight w:val="21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6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>Набор 1 канальный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катетеризации крупных сосудов 7</w:t>
            </w:r>
            <w:r w:rsidRPr="002838D2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  <w:tc>
          <w:tcPr>
            <w:tcW w:w="1418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12550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1255000</w:t>
            </w:r>
          </w:p>
        </w:tc>
      </w:tr>
      <w:tr w:rsidR="00A348F8" w:rsidRPr="003C30AB" w:rsidTr="00C77685">
        <w:trPr>
          <w:trHeight w:val="255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7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катетером и инъекционным клапаном G14</w:t>
            </w:r>
          </w:p>
        </w:tc>
        <w:tc>
          <w:tcPr>
            <w:tcW w:w="1418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</w:tr>
      <w:tr w:rsidR="00A348F8" w:rsidRPr="003C30AB" w:rsidTr="00C77685">
        <w:trPr>
          <w:trHeight w:val="138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8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G16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</w:tr>
      <w:tr w:rsidR="00A348F8" w:rsidRPr="003C30AB" w:rsidTr="00C77685">
        <w:trPr>
          <w:trHeight w:val="225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9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G17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</w:tr>
      <w:tr w:rsidR="00A348F8" w:rsidRPr="003C30AB" w:rsidTr="00C77685">
        <w:trPr>
          <w:trHeight w:val="153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10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G18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260000</w:t>
            </w:r>
          </w:p>
        </w:tc>
      </w:tr>
      <w:tr w:rsidR="00A348F8" w:rsidRPr="003C30AB" w:rsidTr="00C77685">
        <w:trPr>
          <w:trHeight w:val="24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11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G20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</w:t>
            </w:r>
          </w:p>
        </w:tc>
      </w:tr>
      <w:tr w:rsidR="00A348F8" w:rsidRPr="003C30AB" w:rsidTr="00C77685">
        <w:trPr>
          <w:trHeight w:val="153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12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G22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</w:tr>
      <w:tr w:rsidR="00A348F8" w:rsidRPr="003C30AB" w:rsidTr="00C77685">
        <w:trPr>
          <w:trHeight w:val="168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bookmarkStart w:id="0" w:name="_GoBack" w:colFirst="5" w:colLast="5"/>
            <w:r w:rsidRPr="003C30AB">
              <w:rPr>
                <w:b/>
              </w:rPr>
              <w:t>13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и инъекционным клапаном G24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</w:tr>
      <w:bookmarkEnd w:id="0"/>
      <w:tr w:rsidR="00A348F8" w:rsidRPr="003C30AB" w:rsidTr="00C77685">
        <w:trPr>
          <w:trHeight w:val="198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lastRenderedPageBreak/>
              <w:t>14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75">
              <w:rPr>
                <w:rFonts w:ascii="Times New Roman" w:hAnsi="Times New Roman" w:cs="Times New Roman"/>
                <w:sz w:val="20"/>
                <w:szCs w:val="20"/>
              </w:rPr>
              <w:t>Канюля внутривенная с катетером и инъекционн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клапаном G26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proofErr w:type="spellStart"/>
            <w:r w:rsidRPr="00F561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340000</w:t>
            </w:r>
          </w:p>
        </w:tc>
      </w:tr>
      <w:tr w:rsidR="00A348F8" w:rsidRPr="003C30AB" w:rsidTr="00C77685">
        <w:trPr>
          <w:trHeight w:val="225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15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>Шприц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одноразовый 3х – компонентный 10</w:t>
            </w: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3024000</w:t>
            </w:r>
          </w:p>
        </w:tc>
      </w:tr>
      <w:tr w:rsidR="00A348F8" w:rsidRPr="003C30AB" w:rsidTr="00C77685">
        <w:trPr>
          <w:trHeight w:val="183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16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>Шприц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одноразовый 3х – компонентный 5</w:t>
            </w:r>
            <w:r w:rsidRPr="00C5438D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23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3753600</w:t>
            </w:r>
          </w:p>
        </w:tc>
      </w:tr>
      <w:tr w:rsidR="00A348F8" w:rsidRPr="003C30AB" w:rsidTr="00C77685">
        <w:trPr>
          <w:trHeight w:val="21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17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gramStart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>( для</w:t>
            </w:r>
            <w:proofErr w:type="gramEnd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 вливания </w:t>
            </w:r>
            <w:proofErr w:type="spellStart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3B2193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 с иглой 21G  )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86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3440000</w:t>
            </w:r>
          </w:p>
        </w:tc>
      </w:tr>
      <w:tr w:rsidR="00A348F8" w:rsidRPr="003C30AB" w:rsidTr="00C77685">
        <w:trPr>
          <w:trHeight w:val="183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18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FBC">
              <w:rPr>
                <w:rFonts w:ascii="Times New Roman" w:hAnsi="Times New Roman" w:cs="Times New Roman"/>
                <w:sz w:val="20"/>
                <w:szCs w:val="20"/>
              </w:rPr>
              <w:t>Пленка рентгеновская 70ммх30,5м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60550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2422000</w:t>
            </w:r>
          </w:p>
        </w:tc>
      </w:tr>
      <w:tr w:rsidR="00A348F8" w:rsidRPr="003C30AB" w:rsidTr="00C77685">
        <w:trPr>
          <w:trHeight w:val="21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19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FBC">
              <w:rPr>
                <w:rFonts w:ascii="Times New Roman" w:hAnsi="Times New Roman" w:cs="Times New Roman"/>
                <w:sz w:val="20"/>
                <w:szCs w:val="20"/>
              </w:rPr>
              <w:t>Маски для кислородной терапии (детская)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</w:pPr>
            <w:proofErr w:type="spellStart"/>
            <w:r w:rsidRPr="00C559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1550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310000</w:t>
            </w:r>
          </w:p>
        </w:tc>
      </w:tr>
      <w:tr w:rsidR="00A348F8" w:rsidRPr="003C30AB" w:rsidTr="00C77685">
        <w:trPr>
          <w:trHeight w:val="216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20</w:t>
            </w:r>
          </w:p>
        </w:tc>
        <w:tc>
          <w:tcPr>
            <w:tcW w:w="4252" w:type="dxa"/>
          </w:tcPr>
          <w:p w:rsidR="00A348F8" w:rsidRPr="00B96FC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B68">
              <w:rPr>
                <w:rFonts w:ascii="Times New Roman" w:hAnsi="Times New Roman" w:cs="Times New Roman"/>
                <w:sz w:val="20"/>
                <w:szCs w:val="20"/>
              </w:rPr>
              <w:t>Маски для кислородной терапии (взрослая)</w:t>
            </w:r>
          </w:p>
        </w:tc>
        <w:tc>
          <w:tcPr>
            <w:tcW w:w="1418" w:type="dxa"/>
          </w:tcPr>
          <w:p w:rsidR="00A348F8" w:rsidRPr="00C55953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A348F8" w:rsidRPr="00B96FC1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</w:pPr>
            <w:r>
              <w:t>1550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310000</w:t>
            </w:r>
          </w:p>
        </w:tc>
      </w:tr>
      <w:tr w:rsidR="00A348F8" w:rsidRPr="003C30AB" w:rsidTr="00C77685">
        <w:trPr>
          <w:trHeight w:val="127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21</w:t>
            </w:r>
          </w:p>
        </w:tc>
        <w:tc>
          <w:tcPr>
            <w:tcW w:w="4252" w:type="dxa"/>
          </w:tcPr>
          <w:p w:rsidR="00A348F8" w:rsidRPr="00A32083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Проявитель (Автомат канистра 5л)</w:t>
            </w:r>
          </w:p>
        </w:tc>
        <w:tc>
          <w:tcPr>
            <w:tcW w:w="1418" w:type="dxa"/>
          </w:tcPr>
          <w:p w:rsidR="00A348F8" w:rsidRPr="00A32083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1417" w:type="dxa"/>
          </w:tcPr>
          <w:p w:rsidR="00A348F8" w:rsidRPr="005F5C06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30200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1057000</w:t>
            </w:r>
          </w:p>
        </w:tc>
      </w:tr>
      <w:tr w:rsidR="00A348F8" w:rsidRPr="003C30AB" w:rsidTr="00C77685">
        <w:trPr>
          <w:trHeight w:val="280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22</w:t>
            </w:r>
          </w:p>
        </w:tc>
        <w:tc>
          <w:tcPr>
            <w:tcW w:w="4252" w:type="dxa"/>
          </w:tcPr>
          <w:p w:rsidR="00A348F8" w:rsidRPr="00A32083" w:rsidRDefault="00A348F8" w:rsidP="00A348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Фиксаж (Автомат канистра 5л)</w:t>
            </w:r>
          </w:p>
        </w:tc>
        <w:tc>
          <w:tcPr>
            <w:tcW w:w="1418" w:type="dxa"/>
          </w:tcPr>
          <w:p w:rsidR="00A348F8" w:rsidRPr="00A32083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канистра </w:t>
            </w:r>
          </w:p>
        </w:tc>
        <w:tc>
          <w:tcPr>
            <w:tcW w:w="1417" w:type="dxa"/>
          </w:tcPr>
          <w:p w:rsidR="00A348F8" w:rsidRPr="00A32083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19955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538785</w:t>
            </w:r>
          </w:p>
        </w:tc>
      </w:tr>
      <w:tr w:rsidR="00A348F8" w:rsidRPr="003C30AB" w:rsidTr="00C77685">
        <w:trPr>
          <w:trHeight w:val="166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  <w:lang w:val="kk-KZ"/>
              </w:rPr>
            </w:pPr>
            <w:r w:rsidRPr="003C30AB">
              <w:rPr>
                <w:b/>
                <w:lang w:val="kk-KZ"/>
              </w:rPr>
              <w:t>23</w:t>
            </w:r>
          </w:p>
        </w:tc>
        <w:tc>
          <w:tcPr>
            <w:tcW w:w="4252" w:type="dxa"/>
          </w:tcPr>
          <w:p w:rsidR="00A348F8" w:rsidRPr="00466321" w:rsidRDefault="00A348F8" w:rsidP="00A348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4C29">
              <w:rPr>
                <w:rFonts w:ascii="Times New Roman" w:hAnsi="Times New Roman" w:cs="Times New Roman"/>
                <w:sz w:val="20"/>
                <w:szCs w:val="20"/>
              </w:rPr>
              <w:t>Гель для ультразвуковой диагностики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66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 Канистра</w:t>
            </w:r>
            <w:proofErr w:type="gramEnd"/>
            <w:r w:rsidRPr="004663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л )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канистра </w:t>
            </w:r>
          </w:p>
        </w:tc>
        <w:tc>
          <w:tcPr>
            <w:tcW w:w="1417" w:type="dxa"/>
          </w:tcPr>
          <w:p w:rsidR="00A348F8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8000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288000</w:t>
            </w:r>
          </w:p>
        </w:tc>
      </w:tr>
      <w:tr w:rsidR="00A348F8" w:rsidRPr="003C30AB" w:rsidTr="00C77685">
        <w:trPr>
          <w:trHeight w:val="61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  <w:r w:rsidRPr="003C30AB">
              <w:rPr>
                <w:b/>
              </w:rPr>
              <w:t>24</w:t>
            </w:r>
          </w:p>
        </w:tc>
        <w:tc>
          <w:tcPr>
            <w:tcW w:w="4252" w:type="dxa"/>
          </w:tcPr>
          <w:p w:rsidR="00A348F8" w:rsidRDefault="00A348F8" w:rsidP="00A3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3D7">
              <w:rPr>
                <w:rFonts w:ascii="Times New Roman" w:hAnsi="Times New Roman" w:cs="Times New Roman"/>
                <w:sz w:val="20"/>
                <w:szCs w:val="20"/>
              </w:rPr>
              <w:t xml:space="preserve">Марля медицинская </w:t>
            </w:r>
            <w:proofErr w:type="gramStart"/>
            <w:r w:rsidRPr="002C03D7">
              <w:rPr>
                <w:rFonts w:ascii="Times New Roman" w:hAnsi="Times New Roman" w:cs="Times New Roman"/>
                <w:sz w:val="20"/>
                <w:szCs w:val="20"/>
              </w:rPr>
              <w:t>( отбеленная</w:t>
            </w:r>
            <w:proofErr w:type="gramEnd"/>
            <w:r w:rsidRPr="002C03D7">
              <w:rPr>
                <w:rFonts w:ascii="Times New Roman" w:hAnsi="Times New Roman" w:cs="Times New Roman"/>
                <w:sz w:val="20"/>
                <w:szCs w:val="20"/>
              </w:rPr>
              <w:t xml:space="preserve"> в рулонах 1000 м )</w:t>
            </w:r>
          </w:p>
        </w:tc>
        <w:tc>
          <w:tcPr>
            <w:tcW w:w="1418" w:type="dxa"/>
          </w:tcPr>
          <w:p w:rsidR="00A348F8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1417" w:type="dxa"/>
          </w:tcPr>
          <w:p w:rsidR="00A348F8" w:rsidRDefault="00A348F8" w:rsidP="00A348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</w:t>
            </w: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155</w:t>
            </w:r>
          </w:p>
        </w:tc>
        <w:tc>
          <w:tcPr>
            <w:tcW w:w="1559" w:type="dxa"/>
            <w:vAlign w:val="bottom"/>
          </w:tcPr>
          <w:p w:rsidR="00A348F8" w:rsidRDefault="00A348F8" w:rsidP="00A348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2480000</w:t>
            </w:r>
          </w:p>
        </w:tc>
      </w:tr>
      <w:tr w:rsidR="00A348F8" w:rsidRPr="003C30AB" w:rsidTr="00C77685">
        <w:trPr>
          <w:trHeight w:val="242"/>
        </w:trPr>
        <w:tc>
          <w:tcPr>
            <w:tcW w:w="568" w:type="dxa"/>
          </w:tcPr>
          <w:p w:rsidR="00A348F8" w:rsidRPr="003C30AB" w:rsidRDefault="00A348F8" w:rsidP="00A348F8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A348F8" w:rsidRPr="003C30AB" w:rsidRDefault="00A348F8" w:rsidP="00A348F8">
            <w:pPr>
              <w:rPr>
                <w:b/>
              </w:rPr>
            </w:pPr>
            <w:r w:rsidRPr="003C30AB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A348F8" w:rsidRPr="003C30AB" w:rsidRDefault="00A348F8" w:rsidP="00A348F8">
            <w:pPr>
              <w:jc w:val="center"/>
            </w:pPr>
          </w:p>
        </w:tc>
        <w:tc>
          <w:tcPr>
            <w:tcW w:w="1417" w:type="dxa"/>
          </w:tcPr>
          <w:p w:rsidR="00A348F8" w:rsidRPr="003C30AB" w:rsidRDefault="00A348F8" w:rsidP="00A348F8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A348F8" w:rsidRPr="003C30AB" w:rsidRDefault="00A348F8" w:rsidP="00A348F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Align w:val="bottom"/>
          </w:tcPr>
          <w:p w:rsidR="00A348F8" w:rsidRPr="00A348F8" w:rsidRDefault="00A348F8" w:rsidP="00A348F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348F8">
              <w:rPr>
                <w:rFonts w:ascii="Calibri" w:hAnsi="Calibri" w:cs="Calibri"/>
                <w:b/>
                <w:color w:val="000000"/>
              </w:rPr>
              <w:t>26933385</w:t>
            </w:r>
          </w:p>
        </w:tc>
      </w:tr>
    </w:tbl>
    <w:p w:rsidR="00DA3B83" w:rsidRPr="001769A2" w:rsidRDefault="00DA3B83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BF2CCB" w:rsidRPr="001769A2" w:rsidRDefault="00BF2CCB" w:rsidP="0001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1769A2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769A2">
        <w:rPr>
          <w:rFonts w:ascii="Times New Roman" w:eastAsia="Times New Roman" w:hAnsi="Times New Roman" w:cs="Times New Roman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1769A2" w:rsidRDefault="00BF2CCB" w:rsidP="001E2D52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 </w:t>
      </w:r>
      <w:r w:rsidRPr="001769A2">
        <w:rPr>
          <w:rFonts w:ascii="Times New Roman" w:eastAsia="Times New Roman" w:hAnsi="Times New Roman" w:cs="Times New Roman"/>
          <w:b/>
          <w:bCs/>
        </w:rPr>
        <w:t>утвержденный уполномоченным органом в области здравоохранения, (</w:t>
      </w:r>
      <w:r w:rsidRPr="001769A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)</w:t>
      </w:r>
      <w:r w:rsidRPr="001769A2">
        <w:rPr>
          <w:rFonts w:ascii="Times New Roman" w:eastAsia="Times New Roman" w:hAnsi="Times New Roman" w:cs="Times New Roman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 2) </w:t>
      </w:r>
      <w:r w:rsidRPr="001769A2">
        <w:rPr>
          <w:rFonts w:ascii="Times New Roman" w:eastAsia="Times New Roman" w:hAnsi="Times New Roman" w:cs="Times New Roman"/>
          <w:b/>
          <w:bCs/>
        </w:rPr>
        <w:t>лекарственные средства</w:t>
      </w:r>
      <w:r w:rsidRPr="001769A2">
        <w:rPr>
          <w:rFonts w:ascii="Times New Roman" w:eastAsia="Times New Roman" w:hAnsi="Times New Roman" w:cs="Times New Roman"/>
        </w:rPr>
        <w:t xml:space="preserve">, профилактические (иммунобиологические, диагностические, </w:t>
      </w:r>
      <w:r w:rsidRPr="001769A2">
        <w:rPr>
          <w:rFonts w:ascii="Times New Roman" w:eastAsia="Times New Roman" w:hAnsi="Times New Roman" w:cs="Times New Roman"/>
        </w:rPr>
        <w:lastRenderedPageBreak/>
        <w:t xml:space="preserve">дезинфицирующие) </w:t>
      </w:r>
      <w:proofErr w:type="spellStart"/>
      <w:r w:rsidRPr="001769A2">
        <w:rPr>
          <w:rFonts w:ascii="Times New Roman" w:eastAsia="Times New Roman" w:hAnsi="Times New Roman" w:cs="Times New Roman"/>
        </w:rPr>
        <w:t>препараты,</w:t>
      </w:r>
      <w:r w:rsidRPr="001769A2">
        <w:rPr>
          <w:rFonts w:ascii="Times New Roman" w:eastAsia="Times New Roman" w:hAnsi="Times New Roman" w:cs="Times New Roman"/>
          <w:b/>
          <w:bCs/>
        </w:rPr>
        <w:t>изделия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медицинского назначения хранятся и транспортируются в условиях, </w:t>
      </w:r>
      <w:r w:rsidRPr="001769A2">
        <w:rPr>
          <w:rFonts w:ascii="Times New Roman" w:eastAsia="Times New Roman" w:hAnsi="Times New Roman" w:cs="Times New Roman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769A2">
        <w:rPr>
          <w:rFonts w:ascii="Times New Roman" w:eastAsia="Times New Roman" w:hAnsi="Times New Roman" w:cs="Times New Roman"/>
          <w:b/>
          <w:bCs/>
        </w:rPr>
        <w:t>утвержденными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3) 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маркировка, потребительская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упаковка</w:t>
      </w:r>
      <w:r w:rsidRPr="001769A2">
        <w:rPr>
          <w:rFonts w:ascii="Times New Roman" w:eastAsia="Times New Roman" w:hAnsi="Times New Roman" w:cs="Times New Roman"/>
        </w:rPr>
        <w:t>и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4) </w:t>
      </w:r>
      <w:r w:rsidRPr="001769A2">
        <w:rPr>
          <w:rFonts w:ascii="Times New Roman" w:eastAsia="Times New Roman" w:hAnsi="Times New Roman" w:cs="Times New Roman"/>
          <w:b/>
          <w:bCs/>
        </w:rPr>
        <w:t>срок годности</w:t>
      </w:r>
      <w:r w:rsidRPr="001769A2">
        <w:rPr>
          <w:rFonts w:ascii="Times New Roman" w:eastAsia="Times New Roman" w:hAnsi="Times New Roman" w:cs="Times New Roman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769A2">
        <w:rPr>
          <w:rFonts w:ascii="Times New Roman" w:eastAsia="Times New Roman" w:hAnsi="Times New Roman" w:cs="Times New Roman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769A2">
        <w:rPr>
          <w:rFonts w:ascii="Times New Roman" w:eastAsia="Times New Roman" w:hAnsi="Times New Roman" w:cs="Times New Roman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769A2">
        <w:rPr>
          <w:rFonts w:ascii="Times New Roman" w:eastAsia="Times New Roman" w:hAnsi="Times New Roman" w:cs="Times New Roman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>     7) срок годности вакцин на дату поставки единым дистрибьютором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769A2">
        <w:rPr>
          <w:rFonts w:ascii="Times New Roman" w:eastAsia="Times New Roman" w:hAnsi="Times New Roman" w:cs="Times New Roman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1769A2" w:rsidRDefault="00BF2CCB" w:rsidP="0001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</w:t>
      </w:r>
      <w:r w:rsidR="000165C6">
        <w:rPr>
          <w:rFonts w:ascii="Times New Roman" w:eastAsia="Times New Roman" w:hAnsi="Times New Roman" w:cs="Times New Roman"/>
          <w:b/>
          <w:bCs/>
        </w:rPr>
        <w:t>                               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34"/>
      </w:tblGrid>
      <w:tr w:rsidR="00BF2CCB" w:rsidRPr="001769A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Приложение 12</w:t>
            </w:r>
            <w:r w:rsidRPr="001769A2">
              <w:rPr>
                <w:rFonts w:ascii="Times New Roman" w:eastAsia="Times New Roman" w:hAnsi="Times New Roman" w:cs="Times New Roman"/>
              </w:rPr>
              <w:br/>
              <w:t>к приказу Министра здравоохранения и</w:t>
            </w:r>
            <w:r w:rsidRPr="001769A2">
              <w:rPr>
                <w:rFonts w:ascii="Times New Roman" w:eastAsia="Times New Roman" w:hAnsi="Times New Roman" w:cs="Times New Roman"/>
              </w:rPr>
              <w:br/>
              <w:t>социального развития Республики Казахстан</w:t>
            </w:r>
            <w:r w:rsidRPr="001769A2">
              <w:rPr>
                <w:rFonts w:ascii="Times New Roman" w:eastAsia="Times New Roman" w:hAnsi="Times New Roman" w:cs="Times New Roman"/>
              </w:rPr>
              <w:br/>
              <w:t>от 18 января 2017 года № 20</w:t>
            </w:r>
          </w:p>
        </w:tc>
      </w:tr>
      <w:tr w:rsidR="00BF2CCB" w:rsidRPr="001769A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Ценовое предложение потенциального поставщика</w:t>
      </w:r>
      <w:r w:rsidRPr="001769A2">
        <w:rPr>
          <w:rFonts w:ascii="Times New Roman" w:eastAsia="Times New Roman" w:hAnsi="Times New Roman" w:cs="Times New Roman"/>
        </w:rPr>
        <w:br/>
      </w:r>
      <w:r w:rsidRPr="001769A2">
        <w:rPr>
          <w:rFonts w:ascii="Times New Roman" w:eastAsia="Times New Roman" w:hAnsi="Times New Roman" w:cs="Times New Roman"/>
          <w:b/>
          <w:bCs/>
        </w:rPr>
        <w:t>                </w:t>
      </w:r>
      <w:proofErr w:type="gramStart"/>
      <w:r w:rsidRPr="001769A2">
        <w:rPr>
          <w:rFonts w:ascii="Times New Roman" w:eastAsia="Times New Roman" w:hAnsi="Times New Roman" w:cs="Times New Roman"/>
          <w:b/>
          <w:bCs/>
        </w:rPr>
        <w:t>   (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>наименование потенциального поставщика,</w:t>
      </w:r>
      <w:r w:rsidRPr="001769A2">
        <w:rPr>
          <w:rFonts w:ascii="Times New Roman" w:eastAsia="Times New Roman" w:hAnsi="Times New Roman" w:cs="Times New Roman"/>
        </w:rPr>
        <w:br/>
      </w: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заполняется отдельно на каждый лот)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Международные непатентованные наименования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Цена ________ за единицу в ____ на условиях _______________</w:t>
            </w:r>
            <w:proofErr w:type="gramStart"/>
            <w:r w:rsidRPr="001769A2">
              <w:rPr>
                <w:rFonts w:ascii="Times New Roman" w:eastAsia="Times New Roman" w:hAnsi="Times New Roman" w:cs="Times New Roman"/>
              </w:rPr>
              <w:t>_ </w:t>
            </w:r>
            <w:r w:rsidR="00453F34" w:rsidRPr="001769A2">
              <w:rPr>
                <w:rFonts w:ascii="Times New Roman" w:eastAsia="Times New Roman" w:hAnsi="Times New Roman" w:cs="Times New Roman"/>
              </w:rPr>
              <w:t xml:space="preserve"> </w:t>
            </w:r>
            <w:r w:rsidRPr="001769A2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1769A2">
              <w:rPr>
                <w:rFonts w:ascii="Times New Roman" w:eastAsia="Times New Roman" w:hAnsi="Times New Roman" w:cs="Times New Roman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Общая цена, в _____ на условиях</w:t>
            </w:r>
            <w:r w:rsidR="00DD696F" w:rsidRPr="001769A2">
              <w:rPr>
                <w:rFonts w:ascii="Times New Roman" w:eastAsia="Times New Roman" w:hAnsi="Times New Roman" w:cs="Times New Roman"/>
              </w:rPr>
              <w:t xml:space="preserve"> </w:t>
            </w:r>
            <w:r w:rsidR="00DD696F" w:rsidRPr="001769A2">
              <w:rPr>
                <w:rFonts w:ascii="Times New Roman" w:eastAsia="Times New Roman" w:hAnsi="Times New Roman" w:cs="Times New Roman"/>
                <w:lang w:val="en-US"/>
              </w:rPr>
              <w:t>DDP</w:t>
            </w:r>
            <w:r w:rsidR="00DD696F" w:rsidRPr="001769A2">
              <w:rPr>
                <w:rFonts w:ascii="Times New Roman" w:eastAsia="Times New Roman" w:hAnsi="Times New Roman" w:cs="Times New Roman"/>
              </w:rPr>
              <w:t xml:space="preserve"> ИНКОТЕРМС </w:t>
            </w:r>
            <w:proofErr w:type="gramStart"/>
            <w:r w:rsidR="00DD696F" w:rsidRPr="001769A2">
              <w:rPr>
                <w:rFonts w:ascii="Times New Roman" w:eastAsia="Times New Roman" w:hAnsi="Times New Roman" w:cs="Times New Roman"/>
              </w:rPr>
              <w:t>2000</w:t>
            </w:r>
            <w:r w:rsidRPr="001769A2">
              <w:rPr>
                <w:rFonts w:ascii="Times New Roman" w:eastAsia="Times New Roman" w:hAnsi="Times New Roman" w:cs="Times New Roman"/>
              </w:rPr>
              <w:t> ,</w:t>
            </w:r>
            <w:proofErr w:type="gramEnd"/>
            <w:r w:rsidRPr="001769A2">
              <w:rPr>
                <w:rFonts w:ascii="Times New Roman" w:eastAsia="Times New Roman" w:hAnsi="Times New Roman" w:cs="Times New Roman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F2CCB" w:rsidRPr="001769A2" w:rsidRDefault="00BF2CCB" w:rsidP="0001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    ______________                          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              </w:t>
      </w:r>
      <w:r w:rsidRPr="001769A2">
        <w:rPr>
          <w:rFonts w:ascii="Times New Roman" w:eastAsia="Times New Roman" w:hAnsi="Times New Roman" w:cs="Times New Roman"/>
        </w:rPr>
        <w:t>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</w:t>
      </w:r>
      <w:r w:rsidRPr="001769A2">
        <w:rPr>
          <w:rFonts w:ascii="Times New Roman" w:eastAsia="Times New Roman" w:hAnsi="Times New Roman" w:cs="Times New Roman"/>
        </w:rPr>
        <w:t>___________________</w:t>
      </w:r>
      <w:r w:rsidR="00C0446F" w:rsidRPr="001769A2">
        <w:rPr>
          <w:rFonts w:ascii="Times New Roman" w:eastAsia="Times New Roman" w:hAnsi="Times New Roman" w:cs="Times New Roman"/>
        </w:rPr>
        <w:t>_______________                     Печать</w:t>
      </w:r>
      <w:r w:rsidR="00C0446F" w:rsidRPr="001769A2">
        <w:rPr>
          <w:rFonts w:ascii="Times New Roman" w:eastAsia="Times New Roman" w:hAnsi="Times New Roman" w:cs="Times New Roman"/>
        </w:rPr>
        <w:br/>
        <w:t>       </w:t>
      </w:r>
      <w:proofErr w:type="gramStart"/>
      <w:r w:rsidR="00C0446F" w:rsidRPr="001769A2">
        <w:rPr>
          <w:rFonts w:ascii="Times New Roman" w:eastAsia="Times New Roman" w:hAnsi="Times New Roman" w:cs="Times New Roman"/>
        </w:rPr>
        <w:t xml:space="preserve">Подпись,   </w:t>
      </w:r>
      <w:proofErr w:type="gramEnd"/>
      <w:r w:rsidR="00C0446F" w:rsidRPr="001769A2">
        <w:rPr>
          <w:rFonts w:ascii="Times New Roman" w:eastAsia="Times New Roman" w:hAnsi="Times New Roman" w:cs="Times New Roman"/>
        </w:rPr>
        <w:t xml:space="preserve">      </w:t>
      </w:r>
      <w:r w:rsidRPr="001769A2">
        <w:rPr>
          <w:rFonts w:ascii="Times New Roman" w:eastAsia="Times New Roman" w:hAnsi="Times New Roman" w:cs="Times New Roman"/>
        </w:rPr>
        <w:t>дата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                                                            </w:t>
      </w:r>
      <w:r w:rsidRPr="001769A2">
        <w:rPr>
          <w:rFonts w:ascii="Times New Roman" w:eastAsia="Times New Roman" w:hAnsi="Times New Roman" w:cs="Times New Roman"/>
        </w:rPr>
        <w:t> </w:t>
      </w:r>
      <w:proofErr w:type="spellStart"/>
      <w:r w:rsidRPr="001769A2">
        <w:rPr>
          <w:rFonts w:ascii="Times New Roman" w:eastAsia="Times New Roman" w:hAnsi="Times New Roman" w:cs="Times New Roman"/>
        </w:rPr>
        <w:t>должность,фамилия,имя,отчество</w:t>
      </w:r>
      <w:proofErr w:type="spellEnd"/>
      <w:r w:rsidRPr="001769A2">
        <w:rPr>
          <w:rFonts w:ascii="Times New Roman" w:eastAsia="Times New Roman" w:hAnsi="Times New Roman" w:cs="Times New Roman"/>
        </w:rPr>
        <w:br/>
        <w:t>                                                    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1769A2">
        <w:rPr>
          <w:rFonts w:ascii="Times New Roman" w:eastAsia="Times New Roman" w:hAnsi="Times New Roman" w:cs="Times New Roman"/>
        </w:rPr>
        <w:t>(при его наличии)</w:t>
      </w:r>
    </w:p>
    <w:p w:rsidR="00BF2CCB" w:rsidRPr="000165C6" w:rsidRDefault="00BF2CCB" w:rsidP="009E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</w:t>
      </w:r>
      <w:r w:rsidRPr="001769A2">
        <w:rPr>
          <w:rFonts w:ascii="Times New Roman" w:eastAsia="Times New Roman" w:hAnsi="Times New Roman" w:cs="Times New Roman"/>
          <w:b/>
          <w:bCs/>
        </w:rPr>
        <w:t>Директор   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ГКП на ПХВ «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1769A2">
        <w:rPr>
          <w:rFonts w:ascii="Times New Roman" w:eastAsia="Times New Roman" w:hAnsi="Times New Roman" w:cs="Times New Roman"/>
          <w:b/>
          <w:bCs/>
        </w:rPr>
        <w:t>ЦРБ»   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Д.А.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</w:t>
      </w:r>
    </w:p>
    <w:sectPr w:rsidR="00BF2CCB" w:rsidRPr="001769A2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65C6"/>
    <w:rsid w:val="00020A91"/>
    <w:rsid w:val="000221DA"/>
    <w:rsid w:val="00023DB9"/>
    <w:rsid w:val="000326DB"/>
    <w:rsid w:val="000339BC"/>
    <w:rsid w:val="00074454"/>
    <w:rsid w:val="00081773"/>
    <w:rsid w:val="00084850"/>
    <w:rsid w:val="000979F3"/>
    <w:rsid w:val="000A08DC"/>
    <w:rsid w:val="000A4E8B"/>
    <w:rsid w:val="000B5AE3"/>
    <w:rsid w:val="000C63D0"/>
    <w:rsid w:val="000E1E72"/>
    <w:rsid w:val="000E6171"/>
    <w:rsid w:val="001118E6"/>
    <w:rsid w:val="001415F6"/>
    <w:rsid w:val="001557F1"/>
    <w:rsid w:val="00166C0E"/>
    <w:rsid w:val="00173AE5"/>
    <w:rsid w:val="001769A2"/>
    <w:rsid w:val="001E2D52"/>
    <w:rsid w:val="002050FD"/>
    <w:rsid w:val="00247828"/>
    <w:rsid w:val="0025591A"/>
    <w:rsid w:val="0026250C"/>
    <w:rsid w:val="00273691"/>
    <w:rsid w:val="002746A3"/>
    <w:rsid w:val="002820A9"/>
    <w:rsid w:val="002A013D"/>
    <w:rsid w:val="002A1329"/>
    <w:rsid w:val="002A1C77"/>
    <w:rsid w:val="002B2A66"/>
    <w:rsid w:val="002C0D37"/>
    <w:rsid w:val="002C66AC"/>
    <w:rsid w:val="002D3B40"/>
    <w:rsid w:val="002D3F0D"/>
    <w:rsid w:val="002D7E17"/>
    <w:rsid w:val="002F276B"/>
    <w:rsid w:val="00301B09"/>
    <w:rsid w:val="00313F79"/>
    <w:rsid w:val="0031459D"/>
    <w:rsid w:val="00373AF5"/>
    <w:rsid w:val="00397DA7"/>
    <w:rsid w:val="003C0A23"/>
    <w:rsid w:val="003C70C8"/>
    <w:rsid w:val="003D39C7"/>
    <w:rsid w:val="003E2832"/>
    <w:rsid w:val="00402171"/>
    <w:rsid w:val="004066F3"/>
    <w:rsid w:val="004329D6"/>
    <w:rsid w:val="00433590"/>
    <w:rsid w:val="00450EF5"/>
    <w:rsid w:val="00452ED2"/>
    <w:rsid w:val="00453F34"/>
    <w:rsid w:val="00455982"/>
    <w:rsid w:val="00457D02"/>
    <w:rsid w:val="00464D9A"/>
    <w:rsid w:val="00490540"/>
    <w:rsid w:val="004C36D8"/>
    <w:rsid w:val="004C3D35"/>
    <w:rsid w:val="004C60FB"/>
    <w:rsid w:val="004D5D0C"/>
    <w:rsid w:val="004E49E0"/>
    <w:rsid w:val="004F1862"/>
    <w:rsid w:val="004F4662"/>
    <w:rsid w:val="00517F3F"/>
    <w:rsid w:val="005532B1"/>
    <w:rsid w:val="00562E10"/>
    <w:rsid w:val="005A1C86"/>
    <w:rsid w:val="005A505F"/>
    <w:rsid w:val="005C6479"/>
    <w:rsid w:val="005E1E6A"/>
    <w:rsid w:val="00602615"/>
    <w:rsid w:val="0060510F"/>
    <w:rsid w:val="00613DD1"/>
    <w:rsid w:val="00621F8D"/>
    <w:rsid w:val="00634658"/>
    <w:rsid w:val="0063490D"/>
    <w:rsid w:val="006449B0"/>
    <w:rsid w:val="00660132"/>
    <w:rsid w:val="006705B7"/>
    <w:rsid w:val="006723CC"/>
    <w:rsid w:val="00672AF8"/>
    <w:rsid w:val="00695AAF"/>
    <w:rsid w:val="006B53FC"/>
    <w:rsid w:val="006C5C17"/>
    <w:rsid w:val="006C6D24"/>
    <w:rsid w:val="006E6A79"/>
    <w:rsid w:val="006F06BD"/>
    <w:rsid w:val="006F1E86"/>
    <w:rsid w:val="006F696A"/>
    <w:rsid w:val="006F79A5"/>
    <w:rsid w:val="007126D0"/>
    <w:rsid w:val="00715E02"/>
    <w:rsid w:val="007437E0"/>
    <w:rsid w:val="00766A4C"/>
    <w:rsid w:val="007931AB"/>
    <w:rsid w:val="00793460"/>
    <w:rsid w:val="007B382F"/>
    <w:rsid w:val="007C23F6"/>
    <w:rsid w:val="007D37F5"/>
    <w:rsid w:val="007F2C08"/>
    <w:rsid w:val="007F560C"/>
    <w:rsid w:val="00841B1C"/>
    <w:rsid w:val="00842EAB"/>
    <w:rsid w:val="00871F6A"/>
    <w:rsid w:val="00884427"/>
    <w:rsid w:val="00885098"/>
    <w:rsid w:val="00887F78"/>
    <w:rsid w:val="00890435"/>
    <w:rsid w:val="00894004"/>
    <w:rsid w:val="008941AD"/>
    <w:rsid w:val="008A72C8"/>
    <w:rsid w:val="008E4BB1"/>
    <w:rsid w:val="008E68A2"/>
    <w:rsid w:val="008F426E"/>
    <w:rsid w:val="009116CB"/>
    <w:rsid w:val="0092082E"/>
    <w:rsid w:val="00924DF3"/>
    <w:rsid w:val="00951B3F"/>
    <w:rsid w:val="00951E1F"/>
    <w:rsid w:val="00967A7D"/>
    <w:rsid w:val="00991C77"/>
    <w:rsid w:val="009B6C61"/>
    <w:rsid w:val="009D1FE1"/>
    <w:rsid w:val="009D6705"/>
    <w:rsid w:val="009E03C5"/>
    <w:rsid w:val="009E1187"/>
    <w:rsid w:val="009F2391"/>
    <w:rsid w:val="00A2346A"/>
    <w:rsid w:val="00A348F8"/>
    <w:rsid w:val="00A364BA"/>
    <w:rsid w:val="00A56190"/>
    <w:rsid w:val="00A677B4"/>
    <w:rsid w:val="00A77E15"/>
    <w:rsid w:val="00A8423B"/>
    <w:rsid w:val="00A87942"/>
    <w:rsid w:val="00A97F1E"/>
    <w:rsid w:val="00AB45A8"/>
    <w:rsid w:val="00AC0256"/>
    <w:rsid w:val="00AC5C1C"/>
    <w:rsid w:val="00B10072"/>
    <w:rsid w:val="00B10404"/>
    <w:rsid w:val="00B17289"/>
    <w:rsid w:val="00B20001"/>
    <w:rsid w:val="00B508CF"/>
    <w:rsid w:val="00B53250"/>
    <w:rsid w:val="00B56454"/>
    <w:rsid w:val="00B71CCB"/>
    <w:rsid w:val="00B73C8E"/>
    <w:rsid w:val="00B92722"/>
    <w:rsid w:val="00B963BF"/>
    <w:rsid w:val="00BA272F"/>
    <w:rsid w:val="00BB0903"/>
    <w:rsid w:val="00BB6733"/>
    <w:rsid w:val="00BC65B2"/>
    <w:rsid w:val="00BD2750"/>
    <w:rsid w:val="00BF0C55"/>
    <w:rsid w:val="00BF2CCB"/>
    <w:rsid w:val="00BF5E19"/>
    <w:rsid w:val="00C0100D"/>
    <w:rsid w:val="00C0446F"/>
    <w:rsid w:val="00C23E05"/>
    <w:rsid w:val="00C33EC2"/>
    <w:rsid w:val="00C52046"/>
    <w:rsid w:val="00C70F75"/>
    <w:rsid w:val="00C854EA"/>
    <w:rsid w:val="00CB210F"/>
    <w:rsid w:val="00CB47FE"/>
    <w:rsid w:val="00CB7743"/>
    <w:rsid w:val="00CC3262"/>
    <w:rsid w:val="00CC6F14"/>
    <w:rsid w:val="00CD0CE2"/>
    <w:rsid w:val="00CE0C0E"/>
    <w:rsid w:val="00CF3A00"/>
    <w:rsid w:val="00CF6E01"/>
    <w:rsid w:val="00D07D5C"/>
    <w:rsid w:val="00D13D33"/>
    <w:rsid w:val="00D20DAA"/>
    <w:rsid w:val="00D22DDB"/>
    <w:rsid w:val="00D239FF"/>
    <w:rsid w:val="00D762C6"/>
    <w:rsid w:val="00D83967"/>
    <w:rsid w:val="00D876C1"/>
    <w:rsid w:val="00D90F40"/>
    <w:rsid w:val="00DA30D6"/>
    <w:rsid w:val="00DA3B83"/>
    <w:rsid w:val="00DB5E9A"/>
    <w:rsid w:val="00DB6A4D"/>
    <w:rsid w:val="00DC3C2B"/>
    <w:rsid w:val="00DD696F"/>
    <w:rsid w:val="00DE644C"/>
    <w:rsid w:val="00E2118D"/>
    <w:rsid w:val="00E22405"/>
    <w:rsid w:val="00E35F1E"/>
    <w:rsid w:val="00E43C94"/>
    <w:rsid w:val="00E47F51"/>
    <w:rsid w:val="00E675A0"/>
    <w:rsid w:val="00E738CB"/>
    <w:rsid w:val="00E74D8C"/>
    <w:rsid w:val="00E9676F"/>
    <w:rsid w:val="00EA515C"/>
    <w:rsid w:val="00EC24A5"/>
    <w:rsid w:val="00EC3A1E"/>
    <w:rsid w:val="00EC64FC"/>
    <w:rsid w:val="00ED48E2"/>
    <w:rsid w:val="00F3630C"/>
    <w:rsid w:val="00F433CA"/>
    <w:rsid w:val="00F50439"/>
    <w:rsid w:val="00F539C1"/>
    <w:rsid w:val="00FB19CD"/>
    <w:rsid w:val="00FB4B83"/>
    <w:rsid w:val="00FE22D7"/>
    <w:rsid w:val="00FE3E6E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6E4B-E684-442F-BCE8-04FD4EC5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165</cp:revision>
  <cp:lastPrinted>2021-12-30T10:17:00Z</cp:lastPrinted>
  <dcterms:created xsi:type="dcterms:W3CDTF">2020-05-19T05:45:00Z</dcterms:created>
  <dcterms:modified xsi:type="dcterms:W3CDTF">2021-12-30T10:17:00Z</dcterms:modified>
</cp:coreProperties>
</file>